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Vodstveni pregled</w:t>
      </w:r>
    </w:p>
    <w:p>
      <w:pPr>
        <w:spacing w:after="400"/>
      </w:pPr>
      <w:r>
        <w:rPr>
          <w:color w:val="3B4A52"/>
          <w:sz w:val="28"/>
          <w:szCs w:val="28"/>
        </w:rPr>
        <w:t xml:space="preserve">Letni pregled sistema vodenja po ISO 9001 §9.3 — vhodi se sestavijo sami, vi dodate ugotovitve in sklepe</w:t>
      </w:r>
    </w:p>
    <w:p>
      <w:pPr>
        <w:spacing w:after="120"/>
      </w:pPr>
      <w:r>
        <w:rPr>
          <w:color w:val="3B4A52"/>
        </w:rPr>
        <w:t xml:space="preserve">Različica navodil: 7. 11.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723" w:id="723"/>
      <w:r>
        <w:t xml:space="preserve">Kazalo</w:t>
      </w:r>
      <w:bookmarkEnd w:id="723"/>
    </w:p>
    <w:sdt>
      <w:sdtPr>
        <w:alias w:val="Kazalo"/>
        <w:docPartObj>
          <w:docPartGallery w:val="Table of Contents"/>
          <w:docPartUnique/>
        </w:docPartObj>
      </w:sdtPr>
      <w:sdtContent>
        <w:p>
          <w:pPr>
            <w:pStyle w:val="TOC1"/>
            <w:tabs>
              <w:tab w:val="right" w:pos="9306" w:leader="dot"/>
            </w:tabs>
          </w:pPr>
          <w:r>
            <w:fldChar w:fldCharType="begin" w:dirty="true"/>
            <w:instrText xml:space="preserve">TOC \h \o "1-2"</w:instrText>
            <w:fldChar w:fldCharType="separate"/>
          </w:r>
          <w:hyperlink w:history="1" w:anchor="_Toc723">
            <w:r>
              <w:t xml:space="preserve">Kazalo</w:t>
            </w:r>
            <w:r>
              <w:tab/>
            </w:r>
            <w:r>
              <w:fldChar w:fldCharType="begin" w:dirty="true"/>
              <w:instrText xml:space="preserve">PAGEREF _Toc723 \h</w:instrText>
              <w:fldChar w:fldCharType="separate"/>
              <w:fldChar w:fldCharType="end"/>
            </w:r>
          </w:hyperlink>
        </w:p>
        <w:p>
          <w:pPr>
            <w:pStyle w:val="TOC1"/>
            <w:tabs>
              <w:tab w:val="right" w:pos="9306" w:leader="dot"/>
            </w:tabs>
          </w:pPr>
          <w:hyperlink w:history="1" w:anchor="_Toc724">
            <w:r>
              <w:t xml:space="preserve">1. Kaj modul dela in zakaj</w:t>
            </w:r>
            <w:r>
              <w:tab/>
            </w:r>
            <w:r>
              <w:fldChar w:fldCharType="begin" w:dirty="true"/>
              <w:instrText xml:space="preserve">PAGEREF _Toc724 \h</w:instrText>
              <w:fldChar w:fldCharType="separate"/>
              <w:fldChar w:fldCharType="end"/>
            </w:r>
          </w:hyperlink>
        </w:p>
        <w:p>
          <w:pPr>
            <w:pStyle w:val="TOC1"/>
            <w:tabs>
              <w:tab w:val="right" w:pos="9306" w:leader="dot"/>
            </w:tabs>
          </w:pPr>
          <w:hyperlink w:history="1" w:anchor="_Toc725">
            <w:r>
              <w:t xml:space="preserve">2. Kaj vidim na strani</w:t>
            </w:r>
            <w:r>
              <w:tab/>
            </w:r>
            <w:r>
              <w:fldChar w:fldCharType="begin" w:dirty="true"/>
              <w:instrText xml:space="preserve">PAGEREF _Toc725 \h</w:instrText>
              <w:fldChar w:fldCharType="separate"/>
              <w:fldChar w:fldCharType="end"/>
            </w:r>
          </w:hyperlink>
        </w:p>
        <w:p>
          <w:pPr>
            <w:pStyle w:val="TOC1"/>
            <w:tabs>
              <w:tab w:val="right" w:pos="9306" w:leader="dot"/>
            </w:tabs>
          </w:pPr>
          <w:hyperlink w:history="1" w:anchor="_Toc726">
            <w:r>
              <w:t xml:space="preserve">3. Kako ustvarim nov pregled</w:t>
            </w:r>
            <w:r>
              <w:tab/>
            </w:r>
            <w:r>
              <w:fldChar w:fldCharType="begin" w:dirty="true"/>
              <w:instrText xml:space="preserve">PAGEREF _Toc726 \h</w:instrText>
              <w:fldChar w:fldCharType="separate"/>
              <w:fldChar w:fldCharType="end"/>
            </w:r>
          </w:hyperlink>
        </w:p>
        <w:p>
          <w:pPr>
            <w:pStyle w:val="TOC1"/>
            <w:tabs>
              <w:tab w:val="right" w:pos="9306" w:leader="dot"/>
            </w:tabs>
          </w:pPr>
          <w:hyperlink w:history="1" w:anchor="_Toc727">
            <w:r>
              <w:t xml:space="preserve">4. Vhodi: kaj program sestavi sam in kako dodam komentar</w:t>
            </w:r>
            <w:r>
              <w:tab/>
            </w:r>
            <w:r>
              <w:fldChar w:fldCharType="begin" w:dirty="true"/>
              <w:instrText xml:space="preserve">PAGEREF _Toc727 \h</w:instrText>
              <w:fldChar w:fldCharType="separate"/>
              <w:fldChar w:fldCharType="end"/>
            </w:r>
          </w:hyperlink>
        </w:p>
        <w:p>
          <w:pPr>
            <w:pStyle w:val="TOC1"/>
            <w:tabs>
              <w:tab w:val="right" w:pos="9306" w:leader="dot"/>
            </w:tabs>
          </w:pPr>
          <w:hyperlink w:history="1" w:anchor="_Toc728">
            <w:r>
              <w:t xml:space="preserve">5. Splošne ugotovitve in osnutek z AI</w:t>
            </w:r>
            <w:r>
              <w:tab/>
            </w:r>
            <w:r>
              <w:fldChar w:fldCharType="begin" w:dirty="true"/>
              <w:instrText xml:space="preserve">PAGEREF _Toc728 \h</w:instrText>
              <w:fldChar w:fldCharType="separate"/>
              <w:fldChar w:fldCharType="end"/>
            </w:r>
          </w:hyperlink>
        </w:p>
        <w:p>
          <w:pPr>
            <w:pStyle w:val="TOC1"/>
            <w:tabs>
              <w:tab w:val="right" w:pos="9306" w:leader="dot"/>
            </w:tabs>
          </w:pPr>
          <w:hyperlink w:history="1" w:anchor="_Toc729">
            <w:r>
              <w:t xml:space="preserve">6. Kako dodam sklep in ga spremenim v ukrep</w:t>
            </w:r>
            <w:r>
              <w:tab/>
            </w:r>
            <w:r>
              <w:fldChar w:fldCharType="begin" w:dirty="true"/>
              <w:instrText xml:space="preserve">PAGEREF _Toc729 \h</w:instrText>
              <w:fldChar w:fldCharType="separate"/>
              <w:fldChar w:fldCharType="end"/>
            </w:r>
          </w:hyperlink>
        </w:p>
        <w:p>
          <w:pPr>
            <w:pStyle w:val="TOC1"/>
            <w:tabs>
              <w:tab w:val="right" w:pos="9306" w:leader="dot"/>
            </w:tabs>
          </w:pPr>
          <w:hyperlink w:history="1" w:anchor="_Toc730">
            <w:r>
              <w:t xml:space="preserve">7. Kako pregled zaključim in natisnem zapisnik</w:t>
            </w:r>
            <w:r>
              <w:tab/>
            </w:r>
            <w:r>
              <w:fldChar w:fldCharType="begin" w:dirty="true"/>
              <w:instrText xml:space="preserve">PAGEREF _Toc730 \h</w:instrText>
              <w:fldChar w:fldCharType="separate"/>
              <w:fldChar w:fldCharType="end"/>
            </w:r>
          </w:hyperlink>
        </w:p>
        <w:p>
          <w:pPr>
            <w:pStyle w:val="TOC1"/>
            <w:tabs>
              <w:tab w:val="right" w:pos="9306" w:leader="dot"/>
            </w:tabs>
          </w:pPr>
          <w:hyperlink w:history="1" w:anchor="_Toc731">
            <w:r>
              <w:t xml:space="preserve">8. Pogovor ob pregledu in povezave z drugimi moduli</w:t>
            </w:r>
            <w:r>
              <w:tab/>
            </w:r>
            <w:r>
              <w:fldChar w:fldCharType="begin" w:dirty="true"/>
              <w:instrText xml:space="preserve">PAGEREF _Toc731 \h</w:instrText>
              <w:fldChar w:fldCharType="separate"/>
              <w:fldChar w:fldCharType="end"/>
            </w:r>
          </w:hyperlink>
        </w:p>
        <w:p>
          <w:pPr>
            <w:pStyle w:val="TOC1"/>
            <w:tabs>
              <w:tab w:val="right" w:pos="9306" w:leader="dot"/>
            </w:tabs>
          </w:pPr>
          <w:hyperlink w:history="1" w:anchor="_Toc732">
            <w:r>
              <w:t xml:space="preserve">9. Vklop modula in dostopi (za skrbnika)  [skrbnik]</w:t>
            </w:r>
            <w:r>
              <w:tab/>
            </w:r>
            <w:r>
              <w:fldChar w:fldCharType="begin" w:dirty="true"/>
              <w:instrText xml:space="preserve">PAGEREF _Toc732 \h</w:instrText>
              <w:fldChar w:fldCharType="separate"/>
              <w:fldChar w:fldCharType="end"/>
            </w:r>
          </w:hyperlink>
        </w:p>
        <w:p>
          <w:pPr>
            <w:pStyle w:val="TOC1"/>
            <w:tabs>
              <w:tab w:val="right" w:pos="9306" w:leader="dot"/>
            </w:tabs>
          </w:pPr>
          <w:hyperlink w:history="1" w:anchor="_Toc733">
            <w:r>
              <w:t xml:space="preserve">10. Pogosta vprašanja in težave</w:t>
            </w:r>
            <w:r>
              <w:tab/>
            </w:r>
            <w:r>
              <w:fldChar w:fldCharType="begin" w:dirty="true"/>
              <w:instrText xml:space="preserve">PAGEREF _Toc733 \h</w:instrText>
              <w:fldChar w:fldCharType="separate"/>
              <w:fldChar w:fldCharType="end"/>
            </w:r>
          </w:hyperlink>
        </w:p>
        <w:p>
          <w:r>
            <w:fldChar w:fldCharType="end"/>
          </w:r>
        </w:p>
      </w:sdtContent>
    </w:sdt>
    <w:p>
      <w:r>
        <w:br w:type="page"/>
      </w:r>
    </w:p>
    <w:p>
      <w:pPr>
        <w:spacing w:after="120"/>
      </w:pPr>
      <w:r>
        <w:t xml:space="preserve">Vodstveni pregled je sestanek, na katerem vodstvo enkrat letno (ali pogosteje) pregleda, ali sistem vodenja kakovosti še deluje: kaj pravijo presoje, pritožbe, ukrepi, dobavitelji, oprema, usposabljanja in tveganja, ter sklene, kaj se bo izboljšalo. Standard ISO 9001 v točki 9.3 natančno predpisuje, </w:t>
      </w:r>
      <w:r>
        <w:rPr>
          <w:b/>
          <w:bCs/>
        </w:rPr>
        <w:t xml:space="preserve">katere vhode</w:t>
      </w:r>
      <w:r>
        <w:t xml:space="preserve"> je treba pregledati (§9.3.2) in </w:t>
      </w:r>
      <w:r>
        <w:rPr>
          <w:b/>
          <w:bCs/>
        </w:rPr>
        <w:t xml:space="preserve">katere sklepe</w:t>
      </w:r>
      <w:r>
        <w:t xml:space="preserve"> mora pregled dati (§9.3.3). Modul </w:t>
      </w:r>
      <w:r>
        <w:rPr>
          <w:b/>
          <w:bCs/>
          <w:color w:val="1D5A61"/>
        </w:rPr>
        <w:t xml:space="preserve">»🧭 Vodstveni pregled«</w:t>
      </w:r>
      <w:r>
        <w:t xml:space="preserve"> vam to delo večinoma opravi sam.</w:t>
      </w:r>
    </w:p>
    <w:p>
      <w:pPr>
        <w:spacing w:after="120"/>
      </w:pPr>
      <w:r>
        <w:t xml:space="preserve">Ko ustvarite nov pregled, program </w:t>
      </w:r>
      <w:r>
        <w:rPr>
          <w:b/>
          <w:bCs/>
        </w:rPr>
        <w:t xml:space="preserve">samodejno sestavi vhode</w:t>
      </w:r>
      <w:r>
        <w:t xml:space="preserve"> iz vaših modulov za izbrano obdobje. Vi k vsaki točki pripišete komentar vodstva, napišete splošne ugotovitve (lahko z osnutkom AI), dodate sklepe z odgovornimi in roki, sklepe po potrebi spremenite v ukrepe CAPA in pregled zaključite — zapisnik se zaklene in ga prenesete kot PDF. Stran odprete s ploščico </w:t>
      </w:r>
      <w:r>
        <w:rPr>
          <w:b/>
          <w:bCs/>
          <w:color w:val="1D5A61"/>
        </w:rPr>
        <w:t xml:space="preserve">»🧭 Vodstveni pregled«</w:t>
      </w:r>
      <w:r>
        <w:t xml:space="preserve"> na domači strani ali z naslovom </w:t>
      </w:r>
      <w:r>
        <w:rPr>
          <w:rFonts w:ascii="Consolas" w:cs="Consolas" w:eastAsia="Consolas" w:hAnsi="Consolas"/>
        </w:rPr>
        <w:t xml:space="preserve">/vodstveni-pregled</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Zaključen vodstveni pregled: značka Zaključen 🔒, vrstica sidrišč, osnovni podatki samo za branje in samodejno sestavljeni vhodi s kazalom točk</w:t>
      </w:r>
    </w:p>
    <w:p>
      <w:pPr>
        <w:spacing w:after="120"/>
      </w:pPr>
      <w:r>
        <w:t xml:space="preserve">Priročnik odprete kadarkoli s tipko </w:t>
      </w:r>
      <w:r>
        <w:rPr>
          <w:rFonts w:ascii="Consolas" w:cs="Consolas" w:eastAsia="Consolas" w:hAnsi="Consolas"/>
          <w:shd w:fill="EEF2F4" w:val="clear"/>
        </w:rPr>
        <w:t xml:space="preserve">F1</w:t>
      </w:r>
      <w:r>
        <w:t xml:space="preserve"> ali z gumbom ❓ desno zgoraj.</w:t>
      </w:r>
    </w:p>
    <w:p>
      <w:pPr>
        <w:pStyle w:val="Heading1"/>
        <w:spacing w:after="160" w:before="400"/>
      </w:pPr>
      <w:bookmarkStart w:name="_Toc724" w:id="724"/>
      <w:r>
        <w:t xml:space="preserve">1. Kaj modul dela in zakaj</w:t>
      </w:r>
      <w:bookmarkEnd w:id="724"/>
    </w:p>
    <w:p>
      <w:pPr>
        <w:spacing w:after="120"/>
      </w:pPr>
      <w:r>
        <w:t xml:space="preserve">En vodstveni pregled je en zapis s štirimi deli, ki sledijo standardu:</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Del zapisa</w:t>
            </w:r>
          </w:p>
        </w:tc>
        <w:tc>
          <w:tcPr>
            <w:tcW w:type="dxa" w:w="3133"/>
            <w:shd w:fill="1D5A61" w:color="auto" w:val="clear"/>
            <w:tcMar>
              <w:top w:type="dxa" w:w="80"/>
              <w:left w:type="dxa" w:w="100"/>
              <w:bottom w:type="dxa" w:w="80"/>
              <w:right w:type="dxa" w:w="100"/>
            </w:tcMar>
          </w:tcPr>
          <w:p>
            <w:r>
              <w:rPr>
                <w:b/>
                <w:bCs/>
                <w:color w:val="FFFFFF"/>
                <w:sz w:val="20"/>
                <w:szCs w:val="20"/>
              </w:rPr>
              <w:t xml:space="preserve">Kdo ga izpolni</w:t>
            </w:r>
          </w:p>
        </w:tc>
        <w:tc>
          <w:tcPr>
            <w:tcW w:type="dxa" w:w="3133"/>
            <w:shd w:fill="1D5A61" w:color="auto" w:val="clear"/>
            <w:tcMar>
              <w:top w:type="dxa" w:w="80"/>
              <w:left w:type="dxa" w:w="100"/>
              <w:bottom w:type="dxa" w:w="80"/>
              <w:right w:type="dxa" w:w="100"/>
            </w:tcMar>
          </w:tcPr>
          <w:p>
            <w:r>
              <w:rPr>
                <w:b/>
                <w:bCs/>
                <w:color w:val="FFFFFF"/>
                <w:sz w:val="20"/>
                <w:szCs w:val="20"/>
              </w:rPr>
              <w:t xml:space="preserve">Točka ISO 9001</w:t>
            </w:r>
          </w:p>
        </w:tc>
      </w:tr>
      <w:tr>
        <w:tc>
          <w:tcPr>
            <w:tcW w:type="dxa" w:w="3133"/>
            <w:tcMar>
              <w:top w:type="dxa" w:w="80"/>
              <w:left w:type="dxa" w:w="100"/>
              <w:bottom w:type="dxa" w:w="80"/>
              <w:right w:type="dxa" w:w="100"/>
            </w:tcMar>
          </w:tcPr>
          <w:p>
            <w:r>
              <w:rPr>
                <w:sz w:val="20"/>
                <w:szCs w:val="20"/>
              </w:rPr>
              <w:t xml:space="preserve">Osnovni podatki: naslov, datum pregleda, obdobje, prisotni</w:t>
            </w:r>
          </w:p>
        </w:tc>
        <w:tc>
          <w:tcPr>
            <w:tcW w:type="dxa" w:w="3133"/>
            <w:tcMar>
              <w:top w:type="dxa" w:w="80"/>
              <w:left w:type="dxa" w:w="100"/>
              <w:bottom w:type="dxa" w:w="80"/>
              <w:right w:type="dxa" w:w="100"/>
            </w:tcMar>
          </w:tcPr>
          <w:p>
            <w:r>
              <w:rPr>
                <w:sz w:val="20"/>
                <w:szCs w:val="20"/>
              </w:rPr>
              <w:t xml:space="preserve">vi, ob ustvarjanju</w:t>
            </w:r>
          </w:p>
        </w:tc>
        <w:tc>
          <w:tcPr>
            <w:tcW w:type="dxa" w:w="3133"/>
            <w:tcMar>
              <w:top w:type="dxa" w:w="80"/>
              <w:left w:type="dxa" w:w="100"/>
              <w:bottom w:type="dxa" w:w="80"/>
              <w:right w:type="dxa" w:w="100"/>
            </w:tcMar>
          </w:tcPr>
          <w:p>
            <w:r>
              <w:rPr>
                <w:sz w:val="20"/>
                <w:szCs w:val="20"/>
              </w:rPr>
              <w:t xml:space="preserve">§9.3.1</w:t>
            </w:r>
          </w:p>
        </w:tc>
      </w:tr>
      <w:tr>
        <w:tc>
          <w:tcPr>
            <w:tcW w:type="dxa" w:w="3133"/>
            <w:tcMar>
              <w:top w:type="dxa" w:w="80"/>
              <w:left w:type="dxa" w:w="100"/>
              <w:bottom w:type="dxa" w:w="80"/>
              <w:right w:type="dxa" w:w="100"/>
            </w:tcMar>
          </w:tcPr>
          <w:p>
            <w:r>
              <w:rPr>
                <w:sz w:val="20"/>
                <w:szCs w:val="20"/>
              </w:rPr>
              <w:t xml:space="preserve">Vhodi: številke iz modulov + komentar vodstva k vsaki točki</w:t>
            </w:r>
          </w:p>
        </w:tc>
        <w:tc>
          <w:tcPr>
            <w:tcW w:type="dxa" w:w="3133"/>
            <w:tcMar>
              <w:top w:type="dxa" w:w="80"/>
              <w:left w:type="dxa" w:w="100"/>
              <w:bottom w:type="dxa" w:w="80"/>
              <w:right w:type="dxa" w:w="100"/>
            </w:tcMar>
          </w:tcPr>
          <w:p>
            <w:r>
              <w:rPr>
                <w:sz w:val="20"/>
                <w:szCs w:val="20"/>
              </w:rPr>
              <w:t xml:space="preserve">številke program, komentarje vi</w:t>
            </w:r>
          </w:p>
        </w:tc>
        <w:tc>
          <w:tcPr>
            <w:tcW w:type="dxa" w:w="3133"/>
            <w:tcMar>
              <w:top w:type="dxa" w:w="80"/>
              <w:left w:type="dxa" w:w="100"/>
              <w:bottom w:type="dxa" w:w="80"/>
              <w:right w:type="dxa" w:w="100"/>
            </w:tcMar>
          </w:tcPr>
          <w:p>
            <w:r>
              <w:rPr>
                <w:sz w:val="20"/>
                <w:szCs w:val="20"/>
              </w:rPr>
              <w:t xml:space="preserve">§9.3.2</w:t>
            </w:r>
          </w:p>
        </w:tc>
      </w:tr>
      <w:tr>
        <w:tc>
          <w:tcPr>
            <w:tcW w:type="dxa" w:w="3133"/>
            <w:tcMar>
              <w:top w:type="dxa" w:w="80"/>
              <w:left w:type="dxa" w:w="100"/>
              <w:bottom w:type="dxa" w:w="80"/>
              <w:right w:type="dxa" w:w="100"/>
            </w:tcMar>
          </w:tcPr>
          <w:p>
            <w:r>
              <w:rPr>
                <w:sz w:val="20"/>
                <w:szCs w:val="20"/>
              </w:rPr>
              <w:t xml:space="preserve">Splošne ugotovitve — ustreznost in učinkovitost SVK</w:t>
            </w:r>
          </w:p>
        </w:tc>
        <w:tc>
          <w:tcPr>
            <w:tcW w:type="dxa" w:w="3133"/>
            <w:tcMar>
              <w:top w:type="dxa" w:w="80"/>
              <w:left w:type="dxa" w:w="100"/>
              <w:bottom w:type="dxa" w:w="80"/>
              <w:right w:type="dxa" w:w="100"/>
            </w:tcMar>
          </w:tcPr>
          <w:p>
            <w:r>
              <w:rPr>
                <w:sz w:val="20"/>
                <w:szCs w:val="20"/>
              </w:rPr>
              <w:t xml:space="preserve">vi (po želji osnutek AI)</w:t>
            </w:r>
          </w:p>
        </w:tc>
        <w:tc>
          <w:tcPr>
            <w:tcW w:type="dxa" w:w="3133"/>
            <w:tcMar>
              <w:top w:type="dxa" w:w="80"/>
              <w:left w:type="dxa" w:w="100"/>
              <w:bottom w:type="dxa" w:w="80"/>
              <w:right w:type="dxa" w:w="100"/>
            </w:tcMar>
          </w:tcPr>
          <w:p>
            <w:r>
              <w:rPr>
                <w:sz w:val="20"/>
                <w:szCs w:val="20"/>
              </w:rPr>
              <w:t xml:space="preserve">§9.3.3</w:t>
            </w:r>
          </w:p>
        </w:tc>
      </w:tr>
      <w:tr>
        <w:tc>
          <w:tcPr>
            <w:tcW w:type="dxa" w:w="3133"/>
            <w:tcMar>
              <w:top w:type="dxa" w:w="80"/>
              <w:left w:type="dxa" w:w="100"/>
              <w:bottom w:type="dxa" w:w="80"/>
              <w:right w:type="dxa" w:w="100"/>
            </w:tcMar>
          </w:tcPr>
          <w:p>
            <w:r>
              <w:rPr>
                <w:sz w:val="20"/>
                <w:szCs w:val="20"/>
              </w:rPr>
              <w:t xml:space="preserve">Sklepi: izboljšave, spremembe, viri — z odgovornim in rokom; po potrebi ukrep CAPA</w:t>
            </w:r>
          </w:p>
        </w:tc>
        <w:tc>
          <w:tcPr>
            <w:tcW w:type="dxa" w:w="3133"/>
            <w:tcMar>
              <w:top w:type="dxa" w:w="80"/>
              <w:left w:type="dxa" w:w="100"/>
              <w:bottom w:type="dxa" w:w="80"/>
              <w:right w:type="dxa" w:w="100"/>
            </w:tcMar>
          </w:tcPr>
          <w:p>
            <w:r>
              <w:rPr>
                <w:sz w:val="20"/>
                <w:szCs w:val="20"/>
              </w:rPr>
              <w:t xml:space="preserve">vi</w:t>
            </w:r>
          </w:p>
        </w:tc>
        <w:tc>
          <w:tcPr>
            <w:tcW w:type="dxa" w:w="3133"/>
            <w:tcMar>
              <w:top w:type="dxa" w:w="80"/>
              <w:left w:type="dxa" w:w="100"/>
              <w:bottom w:type="dxa" w:w="80"/>
              <w:right w:type="dxa" w:w="100"/>
            </w:tcMar>
          </w:tcPr>
          <w:p>
            <w:r>
              <w:rPr>
                <w:sz w:val="20"/>
                <w:szCs w:val="20"/>
              </w:rPr>
              <w:t xml:space="preserve">§9.3.3</w:t>
            </w:r>
          </w:p>
        </w:tc>
      </w:tr>
    </w:tbl>
    <w:p>
      <w:pPr>
        <w:spacing w:after="160"/>
      </w:pPr>
    </w:p>
    <w:p>
      <w:pPr>
        <w:spacing w:after="120"/>
      </w:pPr>
      <w:r>
        <w:t xml:space="preserve">Pregled ima dve stanji. </w:t>
      </w:r>
      <w:r>
        <w:rPr>
          <w:b/>
          <w:bCs/>
        </w:rPr>
        <w:t xml:space="preserve">Osnutek</w:t>
      </w:r>
      <w:r>
        <w:t xml:space="preserve"> lahko urejate; vse se shranjuje samodejno. </w:t>
      </w:r>
      <w:r>
        <w:rPr>
          <w:b/>
          <w:bCs/>
        </w:rPr>
        <w:t xml:space="preserve">Zaključen 🔒</w:t>
      </w:r>
      <w:r>
        <w:t xml:space="preserve"> je zaklenjen zapisnik — dokaz za presojo; spremeniti ga ni več mogoče, lahko pa še vedno iz sklepov ustvarite ukrepe in prenesete PDF.</w:t>
      </w:r>
    </w:p>
    <w:p>
      <w:pPr>
        <w:pBdr>
          <w:left w:val="single" w:color="1D5A61" w:sz="18" w:space="8"/>
        </w:pBdr>
        <w:spacing w:after="200" w:before="80"/>
        <w:ind w:left="360"/>
      </w:pPr>
      <w:r>
        <w:rPr>
          <w:b/>
          <w:bCs/>
          <w:color w:val="1D5A61"/>
        </w:rPr>
        <w:t xml:space="preserve">Namig: </w:t>
      </w:r>
      <w:r>
        <w:t xml:space="preserve">Presojevalec pri točki 9.3 vpraša troje: ali so bili pregledani vsi zahtevani vhodi, ali so sklepi konkretni (kdo, kaj, do kdaj) in ali so bili sklepi prejšnjega pregleda izpolnjeni. Modul odgovori na vse tri: vhodi so sestavljeni po točkah standarda, sklepi imajo odgovornega in rok, sklepi prejšnjega pregleda pa se v naslednjem pojavijo kot prva točka vhodov s stanjem ukrepa.</w:t>
      </w:r>
    </w:p>
    <w:p>
      <w:pPr>
        <w:pStyle w:val="Heading1"/>
        <w:spacing w:after="160" w:before="400"/>
      </w:pPr>
      <w:bookmarkStart w:name="_Toc725" w:id="725"/>
      <w:r>
        <w:t xml:space="preserve">2. Kaj vidim na strani</w:t>
      </w:r>
      <w:bookmarkEnd w:id="725"/>
    </w:p>
    <w:p>
      <w:pPr>
        <w:spacing w:after="120"/>
      </w:pPr>
      <w:r>
        <w:t xml:space="preserve">Vstopna stran je </w:t>
      </w:r>
      <w:r>
        <w:rPr>
          <w:b/>
          <w:bCs/>
        </w:rPr>
        <w:t xml:space="preserve">seznam vodstvenih pregledov</w:t>
      </w:r>
      <w:r>
        <w:t xml:space="preserve">, najnovejši zgoraj. Vsaka vrstica pokaže naslov, pod njim datum pregleda, obdobje in število sklepov, desno pa stanje: </w:t>
      </w:r>
      <w:r>
        <w:rPr>
          <w:b/>
          <w:bCs/>
        </w:rPr>
        <w:t xml:space="preserve">Osnutek</w:t>
      </w:r>
      <w:r>
        <w:t xml:space="preserve"> (siva značka) ali </w:t>
      </w:r>
      <w:r>
        <w:rPr>
          <w:b/>
          <w:bCs/>
        </w:rPr>
        <w:t xml:space="preserve">Zaključen 🔒</w:t>
      </w:r>
      <w:r>
        <w:t xml:space="preserve"> (zelena). Klik na vrstico pregled odpre.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Seznam vodstvenih pregledov: zaključen letni pregled in osnutek novega; gumba Excel izvoz in + Nov pregled</w:t>
      </w:r>
    </w:p>
    <w:p>
      <w:pPr>
        <w:pStyle w:val="ListParagraph"/>
        <w:numPr>
          <w:ilvl w:val="0"/>
          <w:numId w:val="2"/>
        </w:numPr>
        <w:spacing w:after="60"/>
      </w:pPr>
      <w:r>
        <w:rPr>
          <w:b/>
          <w:bCs/>
          <w:color w:val="1D5A61"/>
        </w:rPr>
        <w:t xml:space="preserve">»+ Nov pregled«</w:t>
      </w:r>
      <w:r>
        <w:t xml:space="preserve"> ustvari nov pregled (samo kdor ima pravico urejanja).</w:t>
      </w:r>
    </w:p>
    <w:p>
      <w:pPr>
        <w:pStyle w:val="ListParagraph"/>
        <w:numPr>
          <w:ilvl w:val="0"/>
          <w:numId w:val="2"/>
        </w:numPr>
        <w:spacing w:after="60"/>
      </w:pPr>
      <w:r>
        <w:rPr>
          <w:b/>
          <w:bCs/>
          <w:color w:val="1D5A61"/>
        </w:rPr>
        <w:t xml:space="preserve">»⬇ Excel izvoz«</w:t>
      </w:r>
      <w:r>
        <w:t xml:space="preserve"> prenese register vseh pregledov (naslov, datum, obdobje, prisotni, stanje, splošne ugotovitve, število sklepov, kdo je zaključil in kdaj, kdo je ustvaril) — za arhiv ali presojevalca.</w:t>
      </w:r>
    </w:p>
    <w:p>
      <w:pPr>
        <w:pStyle w:val="ListParagraph"/>
        <w:numPr>
          <w:ilvl w:val="0"/>
          <w:numId w:val="2"/>
        </w:numPr>
        <w:spacing w:after="60"/>
      </w:pPr>
      <w:r>
        <w:t xml:space="preserve">Če je seznam prazen, piše: »Ni pregledov. Ustvarite prvega — vhodi se sestavijo samodejno iz vaših modulov.«</w:t>
      </w:r>
    </w:p>
    <w:p>
      <w:pPr>
        <w:pStyle w:val="Heading1"/>
        <w:spacing w:after="160" w:before="400"/>
      </w:pPr>
      <w:bookmarkStart w:name="_Toc726" w:id="726"/>
      <w:r>
        <w:t xml:space="preserve">3. Kako ustvarim nov pregled</w:t>
      </w:r>
      <w:bookmarkEnd w:id="726"/>
    </w:p>
    <w:p>
      <w:pPr>
        <w:pStyle w:val="ListParagraph"/>
        <w:numPr>
          <w:ilvl w:val="0"/>
          <w:numId w:val="3"/>
        </w:numPr>
        <w:spacing w:after="90"/>
      </w:pPr>
      <w:r>
        <w:t xml:space="preserve">Kliknite </w:t>
      </w:r>
      <w:r>
        <w:rPr>
          <w:b/>
          <w:bCs/>
          <w:color w:val="1D5A61"/>
        </w:rPr>
        <w:t xml:space="preserve">»+ Nov pregled«</w:t>
      </w:r>
      <w:r>
        <w:t xml:space="preserve">. Odpre se obrazec </w:t>
      </w:r>
      <w:r>
        <w:rPr>
          <w:b/>
          <w:bCs/>
          <w:color w:val="1D5A61"/>
        </w:rPr>
        <w:t xml:space="preserve">»🧭 Nov vodstveni pregled«</w:t>
      </w:r>
      <w:r>
        <w:t xml:space="preserve">.</w:t>
      </w:r>
    </w:p>
    <w:p>
      <w:pPr>
        <w:pStyle w:val="ListParagraph"/>
        <w:numPr>
          <w:ilvl w:val="0"/>
          <w:numId w:val="3"/>
        </w:numPr>
        <w:spacing w:after="90"/>
      </w:pPr>
      <w:r>
        <w:t xml:space="preserve">Polje </w:t>
      </w:r>
      <w:r>
        <w:rPr>
          <w:b/>
          <w:bCs/>
          <w:color w:val="1D5A61"/>
        </w:rPr>
        <w:t xml:space="preserve">»Naslov *«</w:t>
      </w:r>
      <w:r>
        <w:t xml:space="preserve"> je že izpolnjeno (npr. »Vodstveni pregled 2026«; če v tem letu pregled že obstaja, »Vodstveni pregled 2026/2«, da se zapisnika ne zamenjata); po potrebi ga spremenite (npr. »polletni«).</w:t>
      </w:r>
    </w:p>
    <w:p>
      <w:pPr>
        <w:pStyle w:val="ListParagraph"/>
        <w:numPr>
          <w:ilvl w:val="0"/>
          <w:numId w:val="3"/>
        </w:numPr>
        <w:spacing w:after="90"/>
      </w:pPr>
      <w:r>
        <w:t xml:space="preserve">Pri </w:t>
      </w:r>
      <w:r>
        <w:rPr>
          <w:b/>
          <w:bCs/>
          <w:color w:val="1D5A61"/>
        </w:rPr>
        <w:t xml:space="preserve">»Datum pregleda«</w:t>
      </w:r>
      <w:r>
        <w:t xml:space="preserve"> pustite današnji datum ali vpišite datum sestanka. Datum ne sme biti pred koncem pregledanega obdobja — vodstvo ne more pregledati obdobja, ki se še ni izteklo.</w:t>
      </w:r>
    </w:p>
    <w:p>
      <w:pPr>
        <w:pStyle w:val="ListParagraph"/>
        <w:numPr>
          <w:ilvl w:val="0"/>
          <w:numId w:val="3"/>
        </w:numPr>
        <w:spacing w:after="90"/>
      </w:pPr>
      <w:r>
        <w:t xml:space="preserve">Pri </w:t>
      </w:r>
      <w:r>
        <w:rPr>
          <w:b/>
          <w:bCs/>
          <w:color w:val="1D5A61"/>
        </w:rPr>
        <w:t xml:space="preserve">»Obdobje od *«</w:t>
      </w:r>
      <w:r>
        <w:t xml:space="preserve"> in </w:t>
      </w:r>
      <w:r>
        <w:rPr>
          <w:b/>
          <w:bCs/>
          <w:color w:val="1D5A61"/>
        </w:rPr>
        <w:t xml:space="preserve">»Obdobje do *«</w:t>
      </w:r>
      <w:r>
        <w:t xml:space="preserve"> določite, katero obdobje pregledujete. Privzeto se obdobje začne dan po koncu zadnjega pregleda (pri prvem pregledu pred enim letom) in traja do danes, zato med pregledi ni lukenj — to pove tudi poudarjen namig pod obema poljema; za letni pregled vpišite npr. od 1. 1. do 31. 12. Vhodi se seštejejo za to obdobje (prejete pritožbe, presoje, odprti in zaprti ukrepi …), stanja (trenutno odprti, zamujeni) pa so vedno današnja.</w:t>
      </w:r>
    </w:p>
    <w:p>
      <w:pPr>
        <w:pStyle w:val="ListParagraph"/>
        <w:numPr>
          <w:ilvl w:val="0"/>
          <w:numId w:val="3"/>
        </w:numPr>
        <w:spacing w:after="90"/>
      </w:pPr>
      <w:r>
        <w:t xml:space="preserve">V </w:t>
      </w:r>
      <w:r>
        <w:rPr>
          <w:b/>
          <w:bCs/>
          <w:color w:val="1D5A61"/>
        </w:rPr>
        <w:t xml:space="preserve">»Prisotni«</w:t>
      </w:r>
      <w:r>
        <w:t xml:space="preserve"> naštejte udeležence (npr. »direktor, vodja kakovosti, vodja proizvodnje«).</w:t>
      </w:r>
    </w:p>
    <w:p>
      <w:pPr>
        <w:pStyle w:val="ListParagraph"/>
        <w:numPr>
          <w:ilvl w:val="0"/>
          <w:numId w:val="3"/>
        </w:numPr>
        <w:spacing w:after="90"/>
      </w:pPr>
      <w:r>
        <w:t xml:space="preserve">Kliknite </w:t>
      </w:r>
      <w:r>
        <w:rPr>
          <w:b/>
          <w:bCs/>
          <w:color w:val="1D5A61"/>
        </w:rPr>
        <w:t xml:space="preserve">»✨ Ustvari in sestavi vhode«</w:t>
      </w:r>
      <w:r>
        <w:t xml:space="preserve">. Program prebere vaše module in odpre nov pregled kot osnutek s sestavljenimi vhodi.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266950"/>
            <wp:effectExtent t="0" r="0" b="0" l="0"/>
            <wp:docPr id="7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2266950"/>
                    </a:xfrm>
                    <a:prstGeom prst="rect">
                      <a:avLst/>
                    </a:prstGeom>
                  </pic:spPr>
                </pic:pic>
              </a:graphicData>
            </a:graphic>
          </wp:inline>
        </w:drawing>
      </w:r>
    </w:p>
    <w:p>
      <w:pPr>
        <w:spacing w:after="200"/>
        <w:jc w:val="center"/>
      </w:pPr>
      <w:r>
        <w:rPr>
          <w:i/>
          <w:iCs/>
          <w:color w:val="3B4A52"/>
          <w:sz w:val="18"/>
          <w:szCs w:val="18"/>
        </w:rPr>
        <w:t xml:space="preserve">Slika: Obrazec Nov vodstveni pregled, izpolnjen za polletni pregled s seznamom prisotnih</w:t>
      </w:r>
    </w:p>
    <w:p>
      <w:pPr>
        <w:spacing w:after="120"/>
      </w:pPr>
      <w:r>
        <w:t xml:space="preserve">Nov pregled se odpre kot </w:t>
      </w:r>
      <w:r>
        <w:rPr>
          <w:b/>
          <w:bCs/>
        </w:rPr>
        <w:t xml:space="preserve">Osnutek</w:t>
      </w:r>
      <w:r>
        <w:t xml:space="preserve">: zgoraj so gumbi </w:t>
      </w:r>
      <w:r>
        <w:rPr>
          <w:b/>
          <w:bCs/>
          <w:color w:val="1D5A61"/>
        </w:rPr>
        <w:t xml:space="preserve">»← Seznam«</w:t>
      </w:r>
      <w:r>
        <w:t xml:space="preserve">, </w:t>
      </w:r>
      <w:r>
        <w:rPr>
          <w:b/>
          <w:bCs/>
          <w:color w:val="1D5A61"/>
        </w:rPr>
        <w:t xml:space="preserve">»🔄 Osveži vhode«</w:t>
      </w:r>
      <w:r>
        <w:t xml:space="preserve">, </w:t>
      </w:r>
      <w:r>
        <w:rPr>
          <w:b/>
          <w:bCs/>
          <w:color w:val="1D5A61"/>
        </w:rPr>
        <w:t xml:space="preserve">»🖨️ Zapisnik PDF«</w:t>
      </w:r>
      <w:r>
        <w:t xml:space="preserve"> in </w:t>
      </w:r>
      <w:r>
        <w:rPr>
          <w:b/>
          <w:bCs/>
          <w:color w:val="1D5A61"/>
        </w:rPr>
        <w:t xml:space="preserve">»🔒 Zaključi pregled«</w:t>
      </w:r>
      <w:r>
        <w:t xml:space="preserve">, pod njimi kartica z datumom pregleda, obdobjem (dve datumski polji, ki ju lahko popravite, dokler pregled ni zaključen — ob spremembi se vhodi znova sestavijo za novo obdobje, komentarji in sklepi ostanejo) in prisotnimi. Gumb </w:t>
      </w:r>
      <w:r>
        <w:rPr>
          <w:b/>
          <w:bCs/>
          <w:color w:val="1D5A61"/>
        </w:rPr>
        <w:t xml:space="preserve">»↓ Pojdi na sklepe (n)«</w:t>
      </w:r>
      <w:r>
        <w:t xml:space="preserve"> na vrhu vas z enim klikom prestavi do obrazca za nov sklep na dnu strani (n je število sklepov).</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000250"/>
            <wp:effectExtent t="0" r="0" b="0" l="0"/>
            <wp:docPr id="7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2000250"/>
                    </a:xfrm>
                    <a:prstGeom prst="rect">
                      <a:avLst/>
                    </a:prstGeom>
                  </pic:spPr>
                </pic:pic>
              </a:graphicData>
            </a:graphic>
          </wp:inline>
        </w:drawing>
      </w:r>
    </w:p>
    <w:p>
      <w:pPr>
        <w:spacing w:after="200"/>
        <w:jc w:val="center"/>
      </w:pPr>
      <w:r>
        <w:rPr>
          <w:i/>
          <w:iCs/>
          <w:color w:val="3B4A52"/>
          <w:sz w:val="18"/>
          <w:szCs w:val="18"/>
        </w:rPr>
        <w:t xml:space="preserve">Slika: Vrh osnutka: naslov z značko Osnutek, gumbi, vrstica sidrišč (Vhodi §9.3.2 · Ugotovitve · Sklepi · Zaključek · Pogovor), seznam »Pred zaključkom dopolnite« in kartica z osnovnimi podatki</w:t>
      </w:r>
    </w:p>
    <w:p>
      <w:pPr>
        <w:pBdr>
          <w:left w:val="single" w:color="B45309" w:sz="18" w:space="8"/>
        </w:pBdr>
        <w:spacing w:after="200" w:before="80"/>
        <w:ind w:left="360"/>
      </w:pPr>
      <w:r>
        <w:rPr>
          <w:b/>
          <w:bCs/>
          <w:color w:val="B45309"/>
        </w:rPr>
        <w:t xml:space="preserve">Pozor: </w:t>
      </w:r>
      <w:r>
        <w:t xml:space="preserve">Obdobje »do« mora biti za obdobjem »od« in naslov ne sme biti prazen — sicer program vrne »Neveljavno obdobje (od/do).« oz. »Naslov je obvezen.«; datum pregleda pred koncem obdobja zavrne z »Datum pregleda ne sme biti pred koncem pregledanega obdobja.«. Pregleda po ustvarjanju ni mogoče izbrisati (ostane kot zapis); obdobje, datum pregleda in prisotne lahko v osnutku še popravite, po zaključku pa ne več.</w:t>
      </w:r>
    </w:p>
    <w:p>
      <w:pPr>
        <w:pStyle w:val="Heading1"/>
        <w:spacing w:after="160" w:before="400"/>
      </w:pPr>
      <w:bookmarkStart w:name="_Toc727" w:id="727"/>
      <w:r>
        <w:t xml:space="preserve">4. Vhodi: kaj program sestavi sam in kako dodam komentar</w:t>
      </w:r>
      <w:bookmarkEnd w:id="727"/>
    </w:p>
    <w:p>
      <w:pPr>
        <w:spacing w:after="120"/>
      </w:pPr>
      <w:r>
        <w:t xml:space="preserve">Pregled je dolg, zato je pod glavo (naslov, stanje, gumbi) vrstica </w:t>
      </w:r>
      <w:r>
        <w:rPr>
          <w:b/>
          <w:bCs/>
          <w:color w:val="1D5A61"/>
        </w:rPr>
        <w:t xml:space="preserve">»Vhodi §9.3.2 (n)«</w:t>
      </w:r>
      <w:r>
        <w:t xml:space="preserve"> · </w:t>
      </w:r>
      <w:r>
        <w:rPr>
          <w:b/>
          <w:bCs/>
          <w:color w:val="1D5A61"/>
        </w:rPr>
        <w:t xml:space="preserve">»Ugotovitve«</w:t>
      </w:r>
      <w:r>
        <w:t xml:space="preserve"> · </w:t>
      </w:r>
      <w:r>
        <w:rPr>
          <w:b/>
          <w:bCs/>
          <w:color w:val="1D5A61"/>
        </w:rPr>
        <w:t xml:space="preserve">»Sklepi (n)«</w:t>
      </w:r>
      <w:r>
        <w:t xml:space="preserve"> · </w:t>
      </w:r>
      <w:r>
        <w:rPr>
          <w:b/>
          <w:bCs/>
          <w:color w:val="1D5A61"/>
        </w:rPr>
        <w:t xml:space="preserve">»Zaključek«</w:t>
      </w:r>
      <w:r>
        <w:t xml:space="preserve"> · </w:t>
      </w:r>
      <w:r>
        <w:rPr>
          <w:b/>
          <w:bCs/>
          <w:color w:val="1D5A61"/>
        </w:rPr>
        <w:t xml:space="preserve">»Pogovor«</w:t>
      </w:r>
      <w:r>
        <w:t xml:space="preserve">. Klik pomakne stran na del pregleda; med drsenjem vrstica ostane pripeta pod glavo programa in pokaže tudi naslov in stanje pregleda (na telefonu le stanje), označen gumb pove, kje ste. Na vrhu razdelka Vhodi je </w:t>
      </w:r>
      <w:r>
        <w:rPr>
          <w:b/>
          <w:bCs/>
        </w:rPr>
        <w:t xml:space="preserve">kazalo točk §9.3.2</w:t>
      </w:r>
      <w:r>
        <w:t xml:space="preserve"> s kratkimi imeni (npr. </w:t>
      </w:r>
      <w:r>
        <w:rPr>
          <w:b/>
          <w:bCs/>
          <w:color w:val="1D5A61"/>
        </w:rPr>
        <w:t xml:space="preserve">»a) Prejšnji pregled«</w:t>
      </w:r>
      <w:r>
        <w:t xml:space="preserve">, </w:t>
      </w:r>
      <w:r>
        <w:rPr>
          <w:b/>
          <w:bCs/>
          <w:color w:val="1D5A61"/>
        </w:rPr>
        <w:t xml:space="preserve">»c) Pritožbe«</w:t>
      </w:r>
      <w:r>
        <w:t xml:space="preserve">, </w:t>
      </w:r>
      <w:r>
        <w:rPr>
          <w:b/>
          <w:bCs/>
          <w:color w:val="1D5A61"/>
        </w:rPr>
        <w:t xml:space="preserve">»e) Tveganja«</w:t>
      </w:r>
      <w:r>
        <w:t xml:space="preserve">) — klik pomakne na točko.</w:t>
      </w:r>
    </w:p>
    <w:p>
      <w:pPr>
        <w:spacing w:after="120"/>
      </w:pPr>
      <w:r>
        <w:t xml:space="preserve">Pod osnovnimi podatki je razdelek </w:t>
      </w:r>
      <w:r>
        <w:rPr>
          <w:b/>
          <w:bCs/>
        </w:rPr>
        <w:t xml:space="preserve">Vhodi (ISO 9001 §9.3.2)</w:t>
      </w:r>
      <w:r>
        <w:t xml:space="preserve"> z datumom, kdaj so bili sestavljeni. Vsaka točka je okvir s številkami; prikažejo se samo točke modulov, ki jih ima podjetje vključene.</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Točka</w:t>
            </w:r>
          </w:p>
        </w:tc>
        <w:tc>
          <w:tcPr>
            <w:tcW w:type="dxa" w:w="3133"/>
            <w:shd w:fill="1D5A61" w:color="auto" w:val="clear"/>
            <w:tcMar>
              <w:top w:type="dxa" w:w="80"/>
              <w:left w:type="dxa" w:w="100"/>
              <w:bottom w:type="dxa" w:w="80"/>
              <w:right w:type="dxa" w:w="100"/>
            </w:tcMar>
          </w:tcPr>
          <w:p>
            <w:r>
              <w:rPr>
                <w:b/>
                <w:bCs/>
                <w:color w:val="FFFFFF"/>
                <w:sz w:val="20"/>
                <w:szCs w:val="20"/>
              </w:rPr>
              <w:t xml:space="preserve">Od kod</w:t>
            </w:r>
          </w:p>
        </w:tc>
        <w:tc>
          <w:tcPr>
            <w:tcW w:type="dxa" w:w="3133"/>
            <w:shd w:fill="1D5A61" w:color="auto" w:val="clear"/>
            <w:tcMar>
              <w:top w:type="dxa" w:w="80"/>
              <w:left w:type="dxa" w:w="100"/>
              <w:bottom w:type="dxa" w:w="80"/>
              <w:right w:type="dxa" w:w="100"/>
            </w:tcMar>
          </w:tcPr>
          <w:p>
            <w:r>
              <w:rPr>
                <w:b/>
                <w:bCs/>
                <w:color w:val="FFFFFF"/>
                <w:sz w:val="20"/>
                <w:szCs w:val="20"/>
              </w:rPr>
              <w:t xml:space="preserve">Kaj piše</w:t>
            </w:r>
          </w:p>
        </w:tc>
      </w:tr>
      <w:tr>
        <w:tc>
          <w:tcPr>
            <w:tcW w:type="dxa" w:w="3133"/>
            <w:tcMar>
              <w:top w:type="dxa" w:w="80"/>
              <w:left w:type="dxa" w:w="100"/>
              <w:bottom w:type="dxa" w:w="80"/>
              <w:right w:type="dxa" w:w="100"/>
            </w:tcMar>
          </w:tcPr>
          <w:p>
            <w:r>
              <w:rPr>
                <w:sz w:val="20"/>
                <w:szCs w:val="20"/>
              </w:rPr>
              <w:t xml:space="preserve">a) Ukrepi iz prejšnjega pregleda</w:t>
            </w:r>
          </w:p>
        </w:tc>
        <w:tc>
          <w:tcPr>
            <w:tcW w:type="dxa" w:w="3133"/>
            <w:tcMar>
              <w:top w:type="dxa" w:w="80"/>
              <w:left w:type="dxa" w:w="100"/>
              <w:bottom w:type="dxa" w:w="80"/>
              <w:right w:type="dxa" w:w="100"/>
            </w:tcMar>
          </w:tcPr>
          <w:p>
            <w:r>
              <w:rPr>
                <w:sz w:val="20"/>
                <w:szCs w:val="20"/>
              </w:rPr>
              <w:t xml:space="preserve">zadnji zaključen pregled</w:t>
            </w:r>
          </w:p>
        </w:tc>
        <w:tc>
          <w:tcPr>
            <w:tcW w:type="dxa" w:w="3133"/>
            <w:tcMar>
              <w:top w:type="dxa" w:w="80"/>
              <w:left w:type="dxa" w:w="100"/>
              <w:bottom w:type="dxa" w:w="80"/>
              <w:right w:type="dxa" w:w="100"/>
            </w:tcMar>
          </w:tcPr>
          <w:p>
            <w:r>
              <w:rPr>
                <w:sz w:val="20"/>
                <w:szCs w:val="20"/>
              </w:rPr>
              <w:t xml:space="preserve">vsak sklep prejšnjega pregleda in stanje njegovega ukrepa (npr. »KU-2026-010: V izvedbi«) ali »brez ukrepa«</w:t>
            </w:r>
          </w:p>
        </w:tc>
      </w:tr>
      <w:tr>
        <w:tc>
          <w:tcPr>
            <w:tcW w:type="dxa" w:w="3133"/>
            <w:tcMar>
              <w:top w:type="dxa" w:w="80"/>
              <w:left w:type="dxa" w:w="100"/>
              <w:bottom w:type="dxa" w:w="80"/>
              <w:right w:type="dxa" w:w="100"/>
            </w:tcMar>
          </w:tcPr>
          <w:p>
            <w:r>
              <w:rPr>
                <w:sz w:val="20"/>
                <w:szCs w:val="20"/>
              </w:rPr>
              <w:t xml:space="preserve">b) Spremembe zunanjih in notranjih zadev</w:t>
            </w:r>
          </w:p>
        </w:tc>
        <w:tc>
          <w:tcPr>
            <w:tcW w:type="dxa" w:w="3133"/>
            <w:tcMar>
              <w:top w:type="dxa" w:w="80"/>
              <w:left w:type="dxa" w:w="100"/>
              <w:bottom w:type="dxa" w:w="80"/>
              <w:right w:type="dxa" w:w="100"/>
            </w:tcMar>
          </w:tcPr>
          <w:p>
            <w:r>
              <w:rPr>
                <w:sz w:val="20"/>
                <w:szCs w:val="20"/>
              </w:rPr>
              <w:t xml:space="preserve">Kontekst organizacije</w:t>
            </w:r>
          </w:p>
        </w:tc>
        <w:tc>
          <w:tcPr>
            <w:tcW w:type="dxa" w:w="3133"/>
            <w:tcMar>
              <w:top w:type="dxa" w:w="80"/>
              <w:left w:type="dxa" w:w="100"/>
              <w:bottom w:type="dxa" w:w="80"/>
              <w:right w:type="dxa" w:w="100"/>
            </w:tcMar>
          </w:tcPr>
          <w:p>
            <w:r>
              <w:rPr>
                <w:sz w:val="20"/>
                <w:szCs w:val="20"/>
              </w:rPr>
              <w:t xml:space="preserve">nova in spremenjena vprašanja konteksta v obdobju, spremenjene zainteresirane strani, zamujeni pregledi; seznam sprememb z vrsto (zunanje/notranje) in pomenom</w:t>
            </w:r>
          </w:p>
        </w:tc>
      </w:tr>
      <w:tr>
        <w:tc>
          <w:tcPr>
            <w:tcW w:type="dxa" w:w="3133"/>
            <w:tcMar>
              <w:top w:type="dxa" w:w="80"/>
              <w:left w:type="dxa" w:w="100"/>
              <w:bottom w:type="dxa" w:w="80"/>
              <w:right w:type="dxa" w:w="100"/>
            </w:tcMar>
          </w:tcPr>
          <w:p>
            <w:r>
              <w:rPr>
                <w:sz w:val="20"/>
                <w:szCs w:val="20"/>
              </w:rPr>
              <w:t xml:space="preserve">c) Povratne informacije odjemalcev — pritožbe</w:t>
            </w:r>
          </w:p>
        </w:tc>
        <w:tc>
          <w:tcPr>
            <w:tcW w:type="dxa" w:w="3133"/>
            <w:tcMar>
              <w:top w:type="dxa" w:w="80"/>
              <w:left w:type="dxa" w:w="100"/>
              <w:bottom w:type="dxa" w:w="80"/>
              <w:right w:type="dxa" w:w="100"/>
            </w:tcMar>
          </w:tcPr>
          <w:p>
            <w:r>
              <w:rPr>
                <w:sz w:val="20"/>
                <w:szCs w:val="20"/>
              </w:rPr>
              <w:t xml:space="preserve">Pritožbe</w:t>
            </w:r>
          </w:p>
        </w:tc>
        <w:tc>
          <w:tcPr>
            <w:tcW w:type="dxa" w:w="3133"/>
            <w:tcMar>
              <w:top w:type="dxa" w:w="80"/>
              <w:left w:type="dxa" w:w="100"/>
              <w:bottom w:type="dxa" w:w="80"/>
              <w:right w:type="dxa" w:w="100"/>
            </w:tcMar>
          </w:tcPr>
          <w:p>
            <w:r>
              <w:rPr>
                <w:sz w:val="20"/>
                <w:szCs w:val="20"/>
              </w:rPr>
              <w:t xml:space="preserve">prejete v obdobju, zaprte v obdobju, trenutno odprte</w:t>
            </w:r>
          </w:p>
        </w:tc>
      </w:tr>
      <w:tr>
        <w:tc>
          <w:tcPr>
            <w:tcW w:type="dxa" w:w="3133"/>
            <w:tcMar>
              <w:top w:type="dxa" w:w="80"/>
              <w:left w:type="dxa" w:w="100"/>
              <w:bottom w:type="dxa" w:w="80"/>
              <w:right w:type="dxa" w:w="100"/>
            </w:tcMar>
          </w:tcPr>
          <w:p>
            <w:r>
              <w:rPr>
                <w:sz w:val="20"/>
                <w:szCs w:val="20"/>
              </w:rPr>
              <w:t xml:space="preserve">c) Doseganje ciljev kakovosti in kazalniki</w:t>
            </w:r>
          </w:p>
        </w:tc>
        <w:tc>
          <w:tcPr>
            <w:tcW w:type="dxa" w:w="3133"/>
            <w:tcMar>
              <w:top w:type="dxa" w:w="80"/>
              <w:left w:type="dxa" w:w="100"/>
              <w:bottom w:type="dxa" w:w="80"/>
              <w:right w:type="dxa" w:w="100"/>
            </w:tcMar>
          </w:tcPr>
          <w:p>
            <w:r>
              <w:rPr>
                <w:sz w:val="20"/>
                <w:szCs w:val="20"/>
              </w:rPr>
              <w:t xml:space="preserve">KPI</w:t>
            </w:r>
          </w:p>
        </w:tc>
        <w:tc>
          <w:tcPr>
            <w:tcW w:type="dxa" w:w="3133"/>
            <w:tcMar>
              <w:top w:type="dxa" w:w="80"/>
              <w:left w:type="dxa" w:w="100"/>
              <w:bottom w:type="dxa" w:w="80"/>
              <w:right w:type="dxa" w:w="100"/>
            </w:tcMar>
          </w:tcPr>
          <w:p>
            <w:r>
              <w:rPr>
                <w:sz w:val="20"/>
                <w:szCs w:val="20"/>
              </w:rPr>
              <w:t xml:space="preserve">ocena stanja (0–100), lastni cilji kakovosti s trenutno vrednostjo, ciljem, rokom in stanjem, vsi kazalniki z vrednostjo, ciljem in stanjem (prilagojen cilj je označen)</w:t>
            </w:r>
          </w:p>
        </w:tc>
      </w:tr>
      <w:tr>
        <w:tc>
          <w:tcPr>
            <w:tcW w:type="dxa" w:w="3133"/>
            <w:tcMar>
              <w:top w:type="dxa" w:w="80"/>
              <w:left w:type="dxa" w:w="100"/>
              <w:bottom w:type="dxa" w:w="80"/>
              <w:right w:type="dxa" w:w="100"/>
            </w:tcMar>
          </w:tcPr>
          <w:p>
            <w:r>
              <w:rPr>
                <w:sz w:val="20"/>
                <w:szCs w:val="20"/>
              </w:rPr>
              <w:t xml:space="preserve">c) Delovanje procesov</w:t>
            </w:r>
          </w:p>
        </w:tc>
        <w:tc>
          <w:tcPr>
            <w:tcW w:type="dxa" w:w="3133"/>
            <w:tcMar>
              <w:top w:type="dxa" w:w="80"/>
              <w:left w:type="dxa" w:w="100"/>
              <w:bottom w:type="dxa" w:w="80"/>
              <w:right w:type="dxa" w:w="100"/>
            </w:tcMar>
          </w:tcPr>
          <w:p>
            <w:r>
              <w:rPr>
                <w:sz w:val="20"/>
                <w:szCs w:val="20"/>
              </w:rPr>
              <w:t xml:space="preserve">Poslovni procesi</w:t>
            </w:r>
          </w:p>
        </w:tc>
        <w:tc>
          <w:tcPr>
            <w:tcW w:type="dxa" w:w="3133"/>
            <w:tcMar>
              <w:top w:type="dxa" w:w="80"/>
              <w:left w:type="dxa" w:w="100"/>
              <w:bottom w:type="dxa" w:w="80"/>
              <w:right w:type="dxa" w:w="100"/>
            </w:tcMar>
          </w:tcPr>
          <w:p>
            <w:r>
              <w:rPr>
                <w:sz w:val="20"/>
                <w:szCs w:val="20"/>
              </w:rPr>
              <w:t xml:space="preserve">procesi skupaj, potrjeni, brez lastnika, eskalacije v obdobju</w:t>
            </w:r>
          </w:p>
        </w:tc>
      </w:tr>
      <w:tr>
        <w:tc>
          <w:tcPr>
            <w:tcW w:type="dxa" w:w="3133"/>
            <w:tcMar>
              <w:top w:type="dxa" w:w="80"/>
              <w:left w:type="dxa" w:w="100"/>
              <w:bottom w:type="dxa" w:w="80"/>
              <w:right w:type="dxa" w:w="100"/>
            </w:tcMar>
          </w:tcPr>
          <w:p>
            <w:r>
              <w:rPr>
                <w:sz w:val="20"/>
                <w:szCs w:val="20"/>
              </w:rPr>
              <w:t xml:space="preserve">c) Rezultati presoj</w:t>
            </w:r>
          </w:p>
        </w:tc>
        <w:tc>
          <w:tcPr>
            <w:tcW w:type="dxa" w:w="3133"/>
            <w:tcMar>
              <w:top w:type="dxa" w:w="80"/>
              <w:left w:type="dxa" w:w="100"/>
              <w:bottom w:type="dxa" w:w="80"/>
              <w:right w:type="dxa" w:w="100"/>
            </w:tcMar>
          </w:tcPr>
          <w:p>
            <w:r>
              <w:rPr>
                <w:sz w:val="20"/>
                <w:szCs w:val="20"/>
              </w:rPr>
              <w:t xml:space="preserve">Presoje</w:t>
            </w:r>
          </w:p>
        </w:tc>
        <w:tc>
          <w:tcPr>
            <w:tcW w:type="dxa" w:w="3133"/>
            <w:tcMar>
              <w:top w:type="dxa" w:w="80"/>
              <w:left w:type="dxa" w:w="100"/>
              <w:bottom w:type="dxa" w:w="80"/>
              <w:right w:type="dxa" w:w="100"/>
            </w:tcMar>
          </w:tcPr>
          <w:p>
            <w:r>
              <w:rPr>
                <w:sz w:val="20"/>
                <w:szCs w:val="20"/>
              </w:rPr>
              <w:t xml:space="preserve">presoje v obdobju, zaključene</w:t>
            </w:r>
          </w:p>
        </w:tc>
      </w:tr>
      <w:tr>
        <w:tc>
          <w:tcPr>
            <w:tcW w:type="dxa" w:w="3133"/>
            <w:tcMar>
              <w:top w:type="dxa" w:w="80"/>
              <w:left w:type="dxa" w:w="100"/>
              <w:bottom w:type="dxa" w:w="80"/>
              <w:right w:type="dxa" w:w="100"/>
            </w:tcMar>
          </w:tcPr>
          <w:p>
            <w:r>
              <w:rPr>
                <w:sz w:val="20"/>
                <w:szCs w:val="20"/>
              </w:rPr>
              <w:t xml:space="preserve">c) Neskladnosti in korektivni ukrepi</w:t>
            </w:r>
          </w:p>
        </w:tc>
        <w:tc>
          <w:tcPr>
            <w:tcW w:type="dxa" w:w="3133"/>
            <w:tcMar>
              <w:top w:type="dxa" w:w="80"/>
              <w:left w:type="dxa" w:w="100"/>
              <w:bottom w:type="dxa" w:w="80"/>
              <w:right w:type="dxa" w:w="100"/>
            </w:tcMar>
          </w:tcPr>
          <w:p>
            <w:r>
              <w:rPr>
                <w:sz w:val="20"/>
                <w:szCs w:val="20"/>
              </w:rPr>
              <w:t xml:space="preserve">CAPA ukrepi</w:t>
            </w:r>
          </w:p>
        </w:tc>
        <w:tc>
          <w:tcPr>
            <w:tcW w:type="dxa" w:w="3133"/>
            <w:tcMar>
              <w:top w:type="dxa" w:w="80"/>
              <w:left w:type="dxa" w:w="100"/>
              <w:bottom w:type="dxa" w:w="80"/>
              <w:right w:type="dxa" w:w="100"/>
            </w:tcMar>
          </w:tcPr>
          <w:p>
            <w:r>
              <w:rPr>
                <w:sz w:val="20"/>
                <w:szCs w:val="20"/>
              </w:rPr>
              <w:t xml:space="preserve">odprti in zaprti v obdobju, trenutno odprti, zamujeni, najpogostejši vzroki (Pareto), preverjanja učinkovitosti uspešna/neuspešna, preverjanja, ki čakajo oceno</w:t>
            </w:r>
          </w:p>
        </w:tc>
      </w:tr>
      <w:tr>
        <w:tc>
          <w:tcPr>
            <w:tcW w:type="dxa" w:w="3133"/>
            <w:tcMar>
              <w:top w:type="dxa" w:w="80"/>
              <w:left w:type="dxa" w:w="100"/>
              <w:bottom w:type="dxa" w:w="80"/>
              <w:right w:type="dxa" w:w="100"/>
            </w:tcMar>
          </w:tcPr>
          <w:p>
            <w:r>
              <w:rPr>
                <w:sz w:val="20"/>
                <w:szCs w:val="20"/>
              </w:rPr>
              <w:t xml:space="preserve">c) Skladnost proizvodov/storitev — neskladni izhodi</w:t>
            </w:r>
          </w:p>
        </w:tc>
        <w:tc>
          <w:tcPr>
            <w:tcW w:type="dxa" w:w="3133"/>
            <w:tcMar>
              <w:top w:type="dxa" w:w="80"/>
              <w:left w:type="dxa" w:w="100"/>
              <w:bottom w:type="dxa" w:w="80"/>
              <w:right w:type="dxa" w:w="100"/>
            </w:tcMar>
          </w:tcPr>
          <w:p>
            <w:r>
              <w:rPr>
                <w:sz w:val="20"/>
                <w:szCs w:val="20"/>
              </w:rPr>
              <w:t xml:space="preserve">Neskladni izhodi</w:t>
            </w:r>
          </w:p>
        </w:tc>
        <w:tc>
          <w:tcPr>
            <w:tcW w:type="dxa" w:w="3133"/>
            <w:tcMar>
              <w:top w:type="dxa" w:w="80"/>
              <w:left w:type="dxa" w:w="100"/>
              <w:bottom w:type="dxa" w:w="80"/>
              <w:right w:type="dxa" w:w="100"/>
            </w:tcMar>
          </w:tcPr>
          <w:p>
            <w:r>
              <w:rPr>
                <w:sz w:val="20"/>
                <w:szCs w:val="20"/>
              </w:rPr>
              <w:t xml:space="preserve">zabeleženi v obdobju, trenutno odprti, izmet, koncesije, strošek (€)</w:t>
            </w:r>
          </w:p>
        </w:tc>
      </w:tr>
      <w:tr>
        <w:tc>
          <w:tcPr>
            <w:tcW w:type="dxa" w:w="3133"/>
            <w:tcMar>
              <w:top w:type="dxa" w:w="80"/>
              <w:left w:type="dxa" w:w="100"/>
              <w:bottom w:type="dxa" w:w="80"/>
              <w:right w:type="dxa" w:w="100"/>
            </w:tcMar>
          </w:tcPr>
          <w:p>
            <w:r>
              <w:rPr>
                <w:sz w:val="20"/>
                <w:szCs w:val="20"/>
              </w:rPr>
              <w:t xml:space="preserve">c) Delovanje zunanjih izvajalcev</w:t>
            </w:r>
          </w:p>
        </w:tc>
        <w:tc>
          <w:tcPr>
            <w:tcW w:type="dxa" w:w="3133"/>
            <w:tcMar>
              <w:top w:type="dxa" w:w="80"/>
              <w:left w:type="dxa" w:w="100"/>
              <w:bottom w:type="dxa" w:w="80"/>
              <w:right w:type="dxa" w:w="100"/>
            </w:tcMar>
          </w:tcPr>
          <w:p>
            <w:r>
              <w:rPr>
                <w:sz w:val="20"/>
                <w:szCs w:val="20"/>
              </w:rPr>
              <w:t xml:space="preserve">Dobavitelji</w:t>
            </w:r>
          </w:p>
        </w:tc>
        <w:tc>
          <w:tcPr>
            <w:tcW w:type="dxa" w:w="3133"/>
            <w:tcMar>
              <w:top w:type="dxa" w:w="80"/>
              <w:left w:type="dxa" w:w="100"/>
              <w:bottom w:type="dxa" w:w="80"/>
              <w:right w:type="dxa" w:w="100"/>
            </w:tcMar>
          </w:tcPr>
          <w:p>
            <w:r>
              <w:rPr>
                <w:sz w:val="20"/>
                <w:szCs w:val="20"/>
              </w:rPr>
              <w:t xml:space="preserve">odobreni, pogojno, blokirani, zamujene ocene</w:t>
            </w:r>
          </w:p>
        </w:tc>
      </w:tr>
      <w:tr>
        <w:tc>
          <w:tcPr>
            <w:tcW w:type="dxa" w:w="3133"/>
            <w:tcMar>
              <w:top w:type="dxa" w:w="80"/>
              <w:left w:type="dxa" w:w="100"/>
              <w:bottom w:type="dxa" w:w="80"/>
              <w:right w:type="dxa" w:w="100"/>
            </w:tcMar>
          </w:tcPr>
          <w:p>
            <w:r>
              <w:rPr>
                <w:sz w:val="20"/>
                <w:szCs w:val="20"/>
              </w:rPr>
              <w:t xml:space="preserve">d) Viri — oprema</w:t>
            </w:r>
          </w:p>
        </w:tc>
        <w:tc>
          <w:tcPr>
            <w:tcW w:type="dxa" w:w="3133"/>
            <w:tcMar>
              <w:top w:type="dxa" w:w="80"/>
              <w:left w:type="dxa" w:w="100"/>
              <w:bottom w:type="dxa" w:w="80"/>
              <w:right w:type="dxa" w:w="100"/>
            </w:tcMar>
          </w:tcPr>
          <w:p>
            <w:r>
              <w:rPr>
                <w:sz w:val="20"/>
                <w:szCs w:val="20"/>
              </w:rPr>
              <w:t xml:space="preserve">Oprema</w:t>
            </w:r>
          </w:p>
        </w:tc>
        <w:tc>
          <w:tcPr>
            <w:tcW w:type="dxa" w:w="3133"/>
            <w:tcMar>
              <w:top w:type="dxa" w:w="80"/>
              <w:left w:type="dxa" w:w="100"/>
              <w:bottom w:type="dxa" w:w="80"/>
              <w:right w:type="dxa" w:w="100"/>
            </w:tcMar>
          </w:tcPr>
          <w:p>
            <w:r>
              <w:rPr>
                <w:sz w:val="20"/>
                <w:szCs w:val="20"/>
              </w:rPr>
              <w:t xml:space="preserve">aktivna oprema, zamujeni pregledi, iztekajoče (30 dni)</w:t>
            </w:r>
          </w:p>
        </w:tc>
      </w:tr>
      <w:tr>
        <w:tc>
          <w:tcPr>
            <w:tcW w:type="dxa" w:w="3133"/>
            <w:tcMar>
              <w:top w:type="dxa" w:w="80"/>
              <w:left w:type="dxa" w:w="100"/>
              <w:bottom w:type="dxa" w:w="80"/>
              <w:right w:type="dxa" w:w="100"/>
            </w:tcMar>
          </w:tcPr>
          <w:p>
            <w:r>
              <w:rPr>
                <w:sz w:val="20"/>
                <w:szCs w:val="20"/>
              </w:rPr>
              <w:t xml:space="preserve">d) Viri — usposabljanja</w:t>
            </w:r>
          </w:p>
        </w:tc>
        <w:tc>
          <w:tcPr>
            <w:tcW w:type="dxa" w:w="3133"/>
            <w:tcMar>
              <w:top w:type="dxa" w:w="80"/>
              <w:left w:type="dxa" w:w="100"/>
              <w:bottom w:type="dxa" w:w="80"/>
              <w:right w:type="dxa" w:w="100"/>
            </w:tcMar>
          </w:tcPr>
          <w:p>
            <w:r>
              <w:rPr>
                <w:sz w:val="20"/>
                <w:szCs w:val="20"/>
              </w:rPr>
              <w:t xml:space="preserve">Usposabljanja</w:t>
            </w:r>
          </w:p>
        </w:tc>
        <w:tc>
          <w:tcPr>
            <w:tcW w:type="dxa" w:w="3133"/>
            <w:tcMar>
              <w:top w:type="dxa" w:w="80"/>
              <w:left w:type="dxa" w:w="100"/>
              <w:bottom w:type="dxa" w:w="80"/>
              <w:right w:type="dxa" w:w="100"/>
            </w:tcMar>
          </w:tcPr>
          <w:p>
            <w:r>
              <w:rPr>
                <w:sz w:val="20"/>
                <w:szCs w:val="20"/>
              </w:rPr>
              <w:t xml:space="preserve">izvedena usposabljanja in udeležbe v obdobju</w:t>
            </w:r>
          </w:p>
        </w:tc>
      </w:tr>
      <w:tr>
        <w:tc>
          <w:tcPr>
            <w:tcW w:type="dxa" w:w="3133"/>
            <w:tcMar>
              <w:top w:type="dxa" w:w="80"/>
              <w:left w:type="dxa" w:w="100"/>
              <w:bottom w:type="dxa" w:w="80"/>
              <w:right w:type="dxa" w:w="100"/>
            </w:tcMar>
          </w:tcPr>
          <w:p>
            <w:r>
              <w:rPr>
                <w:sz w:val="20"/>
                <w:szCs w:val="20"/>
              </w:rPr>
              <w:t xml:space="preserve">e) Tveganja in priložnosti</w:t>
            </w:r>
          </w:p>
        </w:tc>
        <w:tc>
          <w:tcPr>
            <w:tcW w:type="dxa" w:w="3133"/>
            <w:tcMar>
              <w:top w:type="dxa" w:w="80"/>
              <w:left w:type="dxa" w:w="100"/>
              <w:bottom w:type="dxa" w:w="80"/>
              <w:right w:type="dxa" w:w="100"/>
            </w:tcMar>
          </w:tcPr>
          <w:p>
            <w:r>
              <w:rPr>
                <w:sz w:val="20"/>
                <w:szCs w:val="20"/>
              </w:rPr>
              <w:t xml:space="preserve">Tveganja</w:t>
            </w:r>
          </w:p>
        </w:tc>
        <w:tc>
          <w:tcPr>
            <w:tcW w:type="dxa" w:w="3133"/>
            <w:tcMar>
              <w:top w:type="dxa" w:w="80"/>
              <w:left w:type="dxa" w:w="100"/>
              <w:bottom w:type="dxa" w:w="80"/>
              <w:right w:type="dxa" w:w="100"/>
            </w:tcMar>
          </w:tcPr>
          <w:p>
            <w:r>
              <w:rPr>
                <w:sz w:val="20"/>
                <w:szCs w:val="20"/>
              </w:rPr>
              <w:t xml:space="preserve">odprta tveganja, visoka (ukrepi potrebni – prednostno), zaprta v obdobju</w:t>
            </w:r>
          </w:p>
        </w:tc>
      </w:tr>
      <w:tr>
        <w:tc>
          <w:tcPr>
            <w:tcW w:type="dxa" w:w="3133"/>
            <w:tcMar>
              <w:top w:type="dxa" w:w="80"/>
              <w:left w:type="dxa" w:w="100"/>
              <w:bottom w:type="dxa" w:w="80"/>
              <w:right w:type="dxa" w:w="100"/>
            </w:tcMar>
          </w:tcPr>
          <w:p>
            <w:r>
              <w:rPr>
                <w:sz w:val="20"/>
                <w:szCs w:val="20"/>
              </w:rPr>
              <w:t xml:space="preserve">f) Priložnosti za izboljšave</w:t>
            </w:r>
          </w:p>
        </w:tc>
        <w:tc>
          <w:tcPr>
            <w:tcW w:type="dxa" w:w="3133"/>
            <w:tcMar>
              <w:top w:type="dxa" w:w="80"/>
              <w:left w:type="dxa" w:w="100"/>
              <w:bottom w:type="dxa" w:w="80"/>
              <w:right w:type="dxa" w:w="100"/>
            </w:tcMar>
          </w:tcPr>
          <w:p>
            <w:r>
              <w:rPr>
                <w:sz w:val="20"/>
                <w:szCs w:val="20"/>
              </w:rPr>
              <w:t xml:space="preserve">Tveganja (priložnosti), CAPA</w:t>
            </w:r>
          </w:p>
        </w:tc>
        <w:tc>
          <w:tcPr>
            <w:tcW w:type="dxa" w:w="3133"/>
            <w:tcMar>
              <w:top w:type="dxa" w:w="80"/>
              <w:left w:type="dxa" w:w="100"/>
              <w:bottom w:type="dxa" w:w="80"/>
              <w:right w:type="dxa" w:w="100"/>
            </w:tcMar>
          </w:tcPr>
          <w:p>
            <w:r>
              <w:rPr>
                <w:sz w:val="20"/>
                <w:szCs w:val="20"/>
              </w:rPr>
              <w:t xml:space="preserve">odprte in nove priložnosti, preventivni ukrepi v obdobju in zaprti; seznam priložnosti z oceno</w:t>
            </w:r>
          </w:p>
        </w:tc>
      </w:tr>
    </w:tbl>
    <w:p>
      <w:pPr>
        <w:spacing w:after="160"/>
      </w:pP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590675"/>
            <wp:effectExtent t="0" r="0" b="0" l="0"/>
            <wp:docPr id="7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1590675"/>
                    </a:xfrm>
                    <a:prstGeom prst="rect">
                      <a:avLst/>
                    </a:prstGeom>
                  </pic:spPr>
                </pic:pic>
              </a:graphicData>
            </a:graphic>
          </wp:inline>
        </w:drawing>
      </w:r>
    </w:p>
    <w:p>
      <w:pPr>
        <w:spacing w:after="200"/>
        <w:jc w:val="center"/>
      </w:pPr>
      <w:r>
        <w:rPr>
          <w:i/>
          <w:iCs/>
          <w:color w:val="3B4A52"/>
          <w:sz w:val="18"/>
          <w:szCs w:val="18"/>
        </w:rPr>
        <w:t xml:space="preserve">Slika: Vhodi v osnutku: pripeta vrstica sidrišč, kazalo točk §9.3.2 s kratkimi imeni in prva točka a) sklepi prejšnjega pregleda s stanjem ukrepov; pod številkami je polje za komentar vodstva</w:t>
      </w:r>
    </w:p>
    <w:p>
      <w:pPr>
        <w:pStyle w:val="Heading3"/>
        <w:spacing w:after="80" w:before="200"/>
      </w:pPr>
      <w:r>
        <w:t xml:space="preserve">Odpri ↗ — pregled zapisov za številko</w:t>
      </w:r>
    </w:p>
    <w:p>
      <w:pPr>
        <w:spacing w:after="120"/>
      </w:pPr>
      <w:r>
        <w:t xml:space="preserve">Vodstveni pregled ni čarovnik: vodstvo med sestankom pregleda </w:t>
      </w:r>
      <w:r>
        <w:rPr>
          <w:b/>
          <w:bCs/>
        </w:rPr>
        <w:t xml:space="preserve">zapise</w:t>
      </w:r>
      <w:r>
        <w:t xml:space="preserve">, ne le številk. Desno od vsake številke ali vrstice vhodov je povezava </w:t>
      </w:r>
      <w:r>
        <w:rPr>
          <w:b/>
          <w:bCs/>
          <w:color w:val="1D5A61"/>
        </w:rPr>
        <w:t xml:space="preserve">»Odpri ↗«</w:t>
      </w:r>
      <w:r>
        <w:t xml:space="preserve">, ob naslovu točke pa </w:t>
      </w:r>
      <w:r>
        <w:rPr>
          <w:b/>
          <w:bCs/>
          <w:color w:val="1D5A61"/>
        </w:rPr>
        <w:t xml:space="preserve">»Odpri modul ↗«</w:t>
      </w:r>
      <w:r>
        <w:t xml:space="preserve">. Klik odpre vir v </w:t>
      </w:r>
      <w:r>
        <w:rPr>
          <w:b/>
          <w:bCs/>
        </w:rPr>
        <w:t xml:space="preserve">novem oknu</w:t>
      </w:r>
      <w:r>
        <w:t xml:space="preserve"> (pregled ostane odprt v svojem), filtriran na </w:t>
      </w:r>
      <w:r>
        <w:rPr>
          <w:b/>
          <w:bCs/>
        </w:rPr>
        <w:t xml:space="preserve">obdobje pregleda in stanje</w:t>
      </w:r>
      <w:r>
        <w:t xml:space="preserve"> — nad pregledom vhodov to pove namig z obdobjem.</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Vrstica v vhodih</w:t>
            </w:r>
          </w:p>
        </w:tc>
        <w:tc>
          <w:tcPr>
            <w:tcW w:type="dxa" w:w="4700"/>
            <w:shd w:fill="1D5A61" w:color="auto" w:val="clear"/>
            <w:tcMar>
              <w:top w:type="dxa" w:w="80"/>
              <w:left w:type="dxa" w:w="100"/>
              <w:bottom w:type="dxa" w:w="80"/>
              <w:right w:type="dxa" w:w="100"/>
            </w:tcMar>
          </w:tcPr>
          <w:p>
            <w:r>
              <w:rPr>
                <w:b/>
                <w:bCs/>
                <w:color w:val="FFFFFF"/>
                <w:sz w:val="20"/>
                <w:szCs w:val="20"/>
              </w:rPr>
              <w:t xml:space="preserve">Kaj se odpre</w:t>
            </w:r>
          </w:p>
        </w:tc>
      </w:tr>
      <w:tr>
        <w:tc>
          <w:tcPr>
            <w:tcW w:type="dxa" w:w="4700"/>
            <w:tcMar>
              <w:top w:type="dxa" w:w="80"/>
              <w:left w:type="dxa" w:w="100"/>
              <w:bottom w:type="dxa" w:w="80"/>
              <w:right w:type="dxa" w:w="100"/>
            </w:tcMar>
          </w:tcPr>
          <w:p>
            <w:r>
              <w:rPr>
                <w:sz w:val="20"/>
                <w:szCs w:val="20"/>
              </w:rPr>
              <w:t xml:space="preserve">Pritožbe: Prejete v obdobju / Zaprte v obdobju / Trenutno odprte</w:t>
            </w:r>
          </w:p>
        </w:tc>
        <w:tc>
          <w:tcPr>
            <w:tcW w:type="dxa" w:w="4700"/>
            <w:tcMar>
              <w:top w:type="dxa" w:w="80"/>
              <w:left w:type="dxa" w:w="100"/>
              <w:bottom w:type="dxa" w:w="80"/>
              <w:right w:type="dxa" w:w="100"/>
            </w:tcMar>
          </w:tcPr>
          <w:p>
            <w:r>
              <w:rPr>
                <w:sz w:val="20"/>
                <w:szCs w:val="20"/>
              </w:rPr>
              <w:t xml:space="preserve">Pritožbe, prejete v obdobju / zaključene v obdobju / vse nezaprte</w:t>
            </w:r>
          </w:p>
        </w:tc>
      </w:tr>
      <w:tr>
        <w:tc>
          <w:tcPr>
            <w:tcW w:type="dxa" w:w="4700"/>
            <w:tcMar>
              <w:top w:type="dxa" w:w="80"/>
              <w:left w:type="dxa" w:w="100"/>
              <w:bottom w:type="dxa" w:w="80"/>
              <w:right w:type="dxa" w:w="100"/>
            </w:tcMar>
          </w:tcPr>
          <w:p>
            <w:r>
              <w:rPr>
                <w:sz w:val="20"/>
                <w:szCs w:val="20"/>
              </w:rPr>
              <w:t xml:space="preserve">Neskladni izhodi: v obdobju, odprti, izmet, koncesije</w:t>
            </w:r>
          </w:p>
        </w:tc>
        <w:tc>
          <w:tcPr>
            <w:tcW w:type="dxa" w:w="4700"/>
            <w:tcMar>
              <w:top w:type="dxa" w:w="80"/>
              <w:left w:type="dxa" w:w="100"/>
              <w:bottom w:type="dxa" w:w="80"/>
              <w:right w:type="dxa" w:w="100"/>
            </w:tcMar>
          </w:tcPr>
          <w:p>
            <w:r>
              <w:rPr>
                <w:sz w:val="20"/>
                <w:szCs w:val="20"/>
              </w:rPr>
              <w:t xml:space="preserve">register, filtriran na datum odkritja v obdobju, »Vsi nezaprti« oz. dispozicijo</w:t>
            </w:r>
          </w:p>
        </w:tc>
      </w:tr>
      <w:tr>
        <w:tc>
          <w:tcPr>
            <w:tcW w:type="dxa" w:w="4700"/>
            <w:tcMar>
              <w:top w:type="dxa" w:w="80"/>
              <w:left w:type="dxa" w:w="100"/>
              <w:bottom w:type="dxa" w:w="80"/>
              <w:right w:type="dxa" w:w="100"/>
            </w:tcMar>
          </w:tcPr>
          <w:p>
            <w:r>
              <w:rPr>
                <w:sz w:val="20"/>
                <w:szCs w:val="20"/>
              </w:rPr>
              <w:t xml:space="preserve">Presoje: v obdobju, zaključene</w:t>
            </w:r>
          </w:p>
        </w:tc>
        <w:tc>
          <w:tcPr>
            <w:tcW w:type="dxa" w:w="4700"/>
            <w:tcMar>
              <w:top w:type="dxa" w:w="80"/>
              <w:left w:type="dxa" w:w="100"/>
              <w:bottom w:type="dxa" w:w="80"/>
              <w:right w:type="dxa" w:w="100"/>
            </w:tcMar>
          </w:tcPr>
          <w:p>
            <w:r>
              <w:rPr>
                <w:sz w:val="20"/>
                <w:szCs w:val="20"/>
              </w:rPr>
              <w:t xml:space="preserve">seznam presoj, vnesenih v obdobju (vsi presojevalci), po želji samo zaključene</w:t>
            </w:r>
          </w:p>
        </w:tc>
      </w:tr>
      <w:tr>
        <w:tc>
          <w:tcPr>
            <w:tcW w:type="dxa" w:w="4700"/>
            <w:tcMar>
              <w:top w:type="dxa" w:w="80"/>
              <w:left w:type="dxa" w:w="100"/>
              <w:bottom w:type="dxa" w:w="80"/>
              <w:right w:type="dxa" w:w="100"/>
            </w:tcMar>
          </w:tcPr>
          <w:p>
            <w:r>
              <w:rPr>
                <w:sz w:val="20"/>
                <w:szCs w:val="20"/>
              </w:rPr>
              <w:t xml:space="preserve">Tveganja: odprta, visoka, zaprta v obdobju; priložnosti</w:t>
            </w:r>
          </w:p>
        </w:tc>
        <w:tc>
          <w:tcPr>
            <w:tcW w:type="dxa" w:w="4700"/>
            <w:tcMar>
              <w:top w:type="dxa" w:w="80"/>
              <w:left w:type="dxa" w:w="100"/>
              <w:bottom w:type="dxa" w:w="80"/>
              <w:right w:type="dxa" w:w="100"/>
            </w:tcMar>
          </w:tcPr>
          <w:p>
            <w:r>
              <w:rPr>
                <w:sz w:val="20"/>
                <w:szCs w:val="20"/>
              </w:rPr>
              <w:t xml:space="preserve">register tveganj z vrsto, »Vsa nezaprta«, razredom »nujno« oz. obdobjem</w:t>
            </w:r>
          </w:p>
        </w:tc>
      </w:tr>
      <w:tr>
        <w:tc>
          <w:tcPr>
            <w:tcW w:type="dxa" w:w="4700"/>
            <w:tcMar>
              <w:top w:type="dxa" w:w="80"/>
              <w:left w:type="dxa" w:w="100"/>
              <w:bottom w:type="dxa" w:w="80"/>
              <w:right w:type="dxa" w:w="100"/>
            </w:tcMar>
          </w:tcPr>
          <w:p>
            <w:r>
              <w:rPr>
                <w:sz w:val="20"/>
                <w:szCs w:val="20"/>
              </w:rPr>
              <w:t xml:space="preserve">Usposabljanja: izvedena, udeležbe</w:t>
            </w:r>
          </w:p>
        </w:tc>
        <w:tc>
          <w:tcPr>
            <w:tcW w:type="dxa" w:w="4700"/>
            <w:tcMar>
              <w:top w:type="dxa" w:w="80"/>
              <w:left w:type="dxa" w:w="100"/>
              <w:bottom w:type="dxa" w:w="80"/>
              <w:right w:type="dxa" w:w="100"/>
            </w:tcMar>
          </w:tcPr>
          <w:p>
            <w:r>
              <w:rPr>
                <w:sz w:val="20"/>
                <w:szCs w:val="20"/>
              </w:rPr>
              <w:t xml:space="preserve">katalog usposabljanj, izvedenih v obdobju, s številom izvedb in udeležb</w:t>
            </w:r>
          </w:p>
        </w:tc>
      </w:tr>
      <w:tr>
        <w:tc>
          <w:tcPr>
            <w:tcW w:type="dxa" w:w="4700"/>
            <w:tcMar>
              <w:top w:type="dxa" w:w="80"/>
              <w:left w:type="dxa" w:w="100"/>
              <w:bottom w:type="dxa" w:w="80"/>
              <w:right w:type="dxa" w:w="100"/>
            </w:tcMar>
          </w:tcPr>
          <w:p>
            <w:r>
              <w:rPr>
                <w:sz w:val="20"/>
                <w:szCs w:val="20"/>
              </w:rPr>
              <w:t xml:space="preserve">Oprema: zamujeni pregledi, iztekajoči</w:t>
            </w:r>
          </w:p>
        </w:tc>
        <w:tc>
          <w:tcPr>
            <w:tcW w:type="dxa" w:w="4700"/>
            <w:tcMar>
              <w:top w:type="dxa" w:w="80"/>
              <w:left w:type="dxa" w:w="100"/>
              <w:bottom w:type="dxa" w:w="80"/>
              <w:right w:type="dxa" w:w="100"/>
            </w:tcMar>
          </w:tcPr>
          <w:p>
            <w:r>
              <w:rPr>
                <w:sz w:val="20"/>
                <w:szCs w:val="20"/>
              </w:rPr>
              <w:t xml:space="preserve">register opreme s stanjem »Zamujena« oz. »Izteka se«</w:t>
            </w:r>
          </w:p>
        </w:tc>
      </w:tr>
      <w:tr>
        <w:tc>
          <w:tcPr>
            <w:tcW w:type="dxa" w:w="4700"/>
            <w:tcMar>
              <w:top w:type="dxa" w:w="80"/>
              <w:left w:type="dxa" w:w="100"/>
              <w:bottom w:type="dxa" w:w="80"/>
              <w:right w:type="dxa" w:w="100"/>
            </w:tcMar>
          </w:tcPr>
          <w:p>
            <w:r>
              <w:rPr>
                <w:sz w:val="20"/>
                <w:szCs w:val="20"/>
              </w:rPr>
              <w:t xml:space="preserve">Dobavitelji: odobreni, pogojni, blokirani, zamujene ocene</w:t>
            </w:r>
          </w:p>
        </w:tc>
        <w:tc>
          <w:tcPr>
            <w:tcW w:type="dxa" w:w="4700"/>
            <w:tcMar>
              <w:top w:type="dxa" w:w="80"/>
              <w:left w:type="dxa" w:w="100"/>
              <w:bottom w:type="dxa" w:w="80"/>
              <w:right w:type="dxa" w:w="100"/>
            </w:tcMar>
          </w:tcPr>
          <w:p>
            <w:r>
              <w:rPr>
                <w:sz w:val="20"/>
                <w:szCs w:val="20"/>
              </w:rPr>
              <w:t xml:space="preserve">register dobaviteljev s tem statusom oz. zapadlimi ocenami</w:t>
            </w:r>
          </w:p>
        </w:tc>
      </w:tr>
      <w:tr>
        <w:tc>
          <w:tcPr>
            <w:tcW w:type="dxa" w:w="4700"/>
            <w:tcMar>
              <w:top w:type="dxa" w:w="80"/>
              <w:left w:type="dxa" w:w="100"/>
              <w:bottom w:type="dxa" w:w="80"/>
              <w:right w:type="dxa" w:w="100"/>
            </w:tcMar>
          </w:tcPr>
          <w:p>
            <w:r>
              <w:rPr>
                <w:sz w:val="20"/>
                <w:szCs w:val="20"/>
              </w:rPr>
              <w:t xml:space="preserve">Ukrepi: zamujeni; sklep prejšnjega pregleda</w:t>
            </w:r>
          </w:p>
        </w:tc>
        <w:tc>
          <w:tcPr>
            <w:tcW w:type="dxa" w:w="4700"/>
            <w:tcMar>
              <w:top w:type="dxa" w:w="80"/>
              <w:left w:type="dxa" w:w="100"/>
              <w:bottom w:type="dxa" w:w="80"/>
              <w:right w:type="dxa" w:w="100"/>
            </w:tcMar>
          </w:tcPr>
          <w:p>
            <w:r>
              <w:rPr>
                <w:sz w:val="20"/>
                <w:szCs w:val="20"/>
              </w:rPr>
              <w:t xml:space="preserve">Ukrepi s filtrom »V zamudi«; kartica ukrepa sklepa</w:t>
            </w:r>
          </w:p>
        </w:tc>
      </w:tr>
      <w:tr>
        <w:tc>
          <w:tcPr>
            <w:tcW w:type="dxa" w:w="4700"/>
            <w:tcMar>
              <w:top w:type="dxa" w:w="80"/>
              <w:left w:type="dxa" w:w="100"/>
              <w:bottom w:type="dxa" w:w="80"/>
              <w:right w:type="dxa" w:w="100"/>
            </w:tcMar>
          </w:tcPr>
          <w:p>
            <w:r>
              <w:rPr>
                <w:sz w:val="20"/>
                <w:szCs w:val="20"/>
              </w:rPr>
              <w:t xml:space="preserve">Cilji in kazalniki, procesi, kontekst</w:t>
            </w:r>
          </w:p>
        </w:tc>
        <w:tc>
          <w:tcPr>
            <w:tcW w:type="dxa" w:w="4700"/>
            <w:tcMar>
              <w:top w:type="dxa" w:w="80"/>
              <w:left w:type="dxa" w:w="100"/>
              <w:bottom w:type="dxa" w:w="80"/>
              <w:right w:type="dxa" w:w="100"/>
            </w:tcMar>
          </w:tcPr>
          <w:p>
            <w:r>
              <w:rPr>
                <w:sz w:val="20"/>
                <w:szCs w:val="20"/>
              </w:rPr>
              <w:t xml:space="preserve">stran KPI oz. modul kazalnika, Poslovni procesi, Kontekst organizacije</w:t>
            </w:r>
          </w:p>
        </w:tc>
      </w:tr>
    </w:tbl>
    <w:p>
      <w:pPr>
        <w:spacing w:after="160"/>
      </w:pPr>
    </w:p>
    <w:p>
      <w:pPr>
        <w:spacing w:after="120"/>
      </w:pPr>
      <w:r>
        <w:t xml:space="preserve">Na ciljni strani nad seznamom piše </w:t>
      </w:r>
      <w:r>
        <w:rPr>
          <w:b/>
          <w:bCs/>
        </w:rPr>
        <w:t xml:space="preserve">»🔗 Filter iz povezave: …«</w:t>
      </w:r>
      <w:r>
        <w:t xml:space="preserve"> (npr. »prejete 1. 1. 2026 – 30. 9. 2026«); število zapisov se ujema s številko v vhodih. Gumb </w:t>
      </w:r>
      <w:r>
        <w:rPr>
          <w:b/>
          <w:bCs/>
          <w:color w:val="1D5A61"/>
        </w:rPr>
        <w:t xml:space="preserve">»✕ Počisti«</w:t>
      </w:r>
      <w:r>
        <w:t xml:space="preserve"> filter odstrani. Povezave delujejo tudi na zaključenem pregledu (obdobje in zapisi so shranjeni v posnetku vhodov); povezav na module, ki jih ne vidite, ni.</w:t>
      </w:r>
    </w:p>
    <w:p>
      <w:pPr>
        <w:pStyle w:val="Heading3"/>
        <w:spacing w:after="80" w:before="200"/>
      </w:pPr>
      <w:r>
        <w:t xml:space="preserve">Komentar vodstva</w:t>
      </w:r>
    </w:p>
    <w:p>
      <w:pPr>
        <w:pStyle w:val="ListParagraph"/>
        <w:numPr>
          <w:ilvl w:val="0"/>
          <w:numId w:val="4"/>
        </w:numPr>
        <w:spacing w:after="90"/>
      </w:pPr>
      <w:r>
        <w:t xml:space="preserve">Neposredno pod povezavami vsake točke je polje </w:t>
      </w:r>
      <w:r>
        <w:rPr>
          <w:b/>
          <w:bCs/>
          <w:color w:val="1D5A61"/>
        </w:rPr>
        <w:t xml:space="preserve">»Komentar vodstva k tej točki …«</w:t>
      </w:r>
      <w:r>
        <w:t xml:space="preserve"> z namigom »💬 Komentar vodstva — odprite vir, preglejte in zapišite ugotovitev«. Vpišite oceno vodstva: kaj številke in pregledani zapisi pomenijo, ali je stanje sprejemljivo, kaj bo treba narediti.</w:t>
      </w:r>
    </w:p>
    <w:p>
      <w:pPr>
        <w:pStyle w:val="ListParagraph"/>
        <w:numPr>
          <w:ilvl w:val="0"/>
          <w:numId w:val="4"/>
        </w:numPr>
        <w:spacing w:after="90"/>
      </w:pPr>
      <w:r>
        <w:t xml:space="preserve">Ničesar ni treba shraniti — osnutek se shrani sam, sekundo po tem, ko nehate tipkati.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190625"/>
            <wp:effectExtent t="0" r="0" b="0" l="0"/>
            <wp:docPr id="7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1190625"/>
                    </a:xfrm>
                    <a:prstGeom prst="rect">
                      <a:avLst/>
                    </a:prstGeom>
                  </pic:spPr>
                </pic:pic>
              </a:graphicData>
            </a:graphic>
          </wp:inline>
        </w:drawing>
      </w:r>
    </w:p>
    <w:p>
      <w:pPr>
        <w:spacing w:after="200"/>
        <w:jc w:val="center"/>
      </w:pPr>
      <w:r>
        <w:rPr>
          <w:i/>
          <w:iCs/>
          <w:color w:val="3B4A52"/>
          <w:sz w:val="18"/>
          <w:szCs w:val="18"/>
        </w:rPr>
        <w:t xml:space="preserve">Slika: Točka pritožb z vpisanim komentarjem vodstva</w:t>
      </w:r>
    </w:p>
    <w:p>
      <w:pPr>
        <w:pStyle w:val="Heading3"/>
        <w:spacing w:after="80" w:before="200"/>
      </w:pPr>
      <w:r>
        <w:t xml:space="preserve">Osveži vhode</w:t>
      </w:r>
    </w:p>
    <w:p>
      <w:pPr>
        <w:spacing w:after="120"/>
      </w:pPr>
      <w:r>
        <w:t xml:space="preserve">Številke so posnetek trenutka, ko ste pregled ustvarili. Če ste pred sestankom še zaprli kak ukrep ali vpisali oceno dobavitelja, kliknite </w:t>
      </w:r>
      <w:r>
        <w:rPr>
          <w:b/>
          <w:bCs/>
          <w:color w:val="1D5A61"/>
        </w:rPr>
        <w:t xml:space="preserve">»🔄 Osveži vhode«</w:t>
      </w:r>
      <w:r>
        <w:t xml:space="preserve"> — program jih sestavi znova iz trenutnih podatkov za isto obdobje. Komentarji ostanejo. Zaključenega pregleda ni mogoče osvežiti.</w:t>
      </w:r>
    </w:p>
    <w:p>
      <w:pPr>
        <w:pBdr>
          <w:left w:val="single" w:color="1D5A61" w:sz="18" w:space="8"/>
        </w:pBdr>
        <w:spacing w:after="200" w:before="80"/>
        <w:ind w:left="360"/>
      </w:pPr>
      <w:r>
        <w:rPr>
          <w:b/>
          <w:bCs/>
          <w:color w:val="1D5A61"/>
        </w:rPr>
        <w:t xml:space="preserve">Namig: </w:t>
      </w:r>
      <w:r>
        <w:t xml:space="preserve">Ni nujno, da komentirate vsako točko, dobro pa je komentirati vsako, kjer številke kažejo težavo (zamujeni ukrepi, odprte pritožbe, visoka tveganja) — presojevalec bo vprašal prav tam.</w:t>
      </w:r>
    </w:p>
    <w:p>
      <w:pPr>
        <w:pStyle w:val="Heading1"/>
        <w:spacing w:after="160" w:before="400"/>
      </w:pPr>
      <w:bookmarkStart w:name="_Toc728" w:id="728"/>
      <w:r>
        <w:t xml:space="preserve">5. Splošne ugotovitve in osnutek z AI</w:t>
      </w:r>
      <w:bookmarkEnd w:id="728"/>
    </w:p>
    <w:p>
      <w:pPr>
        <w:spacing w:after="120"/>
      </w:pPr>
      <w:r>
        <w:t xml:space="preserve">Razdelek </w:t>
      </w:r>
      <w:r>
        <w:rPr>
          <w:b/>
          <w:bCs/>
        </w:rPr>
        <w:t xml:space="preserve">Splošne ugotovitve — ustreznost in učinkovitost SVK</w:t>
      </w:r>
      <w:r>
        <w:t xml:space="preserve"> je skupna ocena vodstva: ali je sistem vodenja še ustrezen, primeren in učinkovit (§9.3.3 a). Vpišite jo v besedilno polje; shrani se samodejno.</w:t>
      </w:r>
    </w:p>
    <w:p>
      <w:pPr>
        <w:pStyle w:val="ListParagraph"/>
        <w:numPr>
          <w:ilvl w:val="0"/>
          <w:numId w:val="5"/>
        </w:numPr>
        <w:spacing w:after="90"/>
      </w:pPr>
      <w:r>
        <w:t xml:space="preserve">Če ima podjetje vključen modul AI pomočnik, kliknite </w:t>
      </w:r>
      <w:r>
        <w:rPr>
          <w:b/>
          <w:bCs/>
          <w:color w:val="1D5A61"/>
        </w:rPr>
        <w:t xml:space="preserve">»✨ Pripravi osnutek z AI«</w:t>
      </w:r>
      <w:r>
        <w:t xml:space="preserve">. Osnutek nastane iz zgornjih vhodov in komentarjev.</w:t>
      </w:r>
    </w:p>
    <w:p>
      <w:pPr>
        <w:pStyle w:val="ListParagraph"/>
        <w:numPr>
          <w:ilvl w:val="0"/>
          <w:numId w:val="5"/>
        </w:numPr>
        <w:spacing w:after="90"/>
      </w:pPr>
      <w:r>
        <w:t xml:space="preserve">Počakajte, da gumb neha kazati »✨ Pripravljam …«. Besedilo se vpiše v polje; polje se razširi, da vidite vse.</w:t>
      </w:r>
    </w:p>
    <w:p>
      <w:pPr>
        <w:pStyle w:val="ListParagraph"/>
        <w:numPr>
          <w:ilvl w:val="0"/>
          <w:numId w:val="5"/>
        </w:numPr>
        <w:spacing w:after="90"/>
      </w:pPr>
      <w:r>
        <w:t xml:space="preserve">Osnutek </w:t>
      </w:r>
      <w:r>
        <w:rPr>
          <w:b/>
          <w:bCs/>
        </w:rPr>
        <w:t xml:space="preserve">preberite in dopolnite</w:t>
      </w:r>
      <w:r>
        <w:t xml:space="preserve"> — odgovornost za ugotovitve ostaja na vodstvu. Če je bilo v polju že besedilo, program pred zamenjavo vpraša.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971550"/>
            <wp:effectExtent t="0" r="0" b="0" l="0"/>
            <wp:docPr id="7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971550"/>
                    </a:xfrm>
                    <a:prstGeom prst="rect">
                      <a:avLst/>
                    </a:prstGeom>
                  </pic:spPr>
                </pic:pic>
              </a:graphicData>
            </a:graphic>
          </wp:inline>
        </w:drawing>
      </w:r>
    </w:p>
    <w:p>
      <w:pPr>
        <w:spacing w:after="200"/>
        <w:jc w:val="center"/>
      </w:pPr>
      <w:r>
        <w:rPr>
          <w:i/>
          <w:iCs/>
          <w:color w:val="3B4A52"/>
          <w:sz w:val="18"/>
          <w:szCs w:val="18"/>
        </w:rPr>
        <w:t xml:space="preserve">Slika: Razdelek Splošne ugotovitve z gumbom za osnutek AI in vpisano oceno vodstva</w:t>
      </w:r>
    </w:p>
    <w:p>
      <w:pPr>
        <w:spacing w:after="120"/>
      </w:pPr>
      <w:r>
        <w:t xml:space="preserve">V vsakem večjem besedilnem polju je tudi majhen gumb </w:t>
      </w:r>
      <w:r>
        <w:rPr>
          <w:b/>
          <w:bCs/>
          <w:color w:val="1D5A61"/>
        </w:rPr>
        <w:t xml:space="preserve">»✨ Izboljšaj«</w:t>
      </w:r>
      <w:r>
        <w:t xml:space="preserve"> (AI pomočnik): napisano besedilo jezikovno uredi — jasneje in bolj uradno — brez dodajanja nove vsebine.</w:t>
      </w:r>
    </w:p>
    <w:p>
      <w:pPr>
        <w:pBdr>
          <w:left w:val="single" w:color="1D5A61" w:sz="18" w:space="8"/>
        </w:pBdr>
        <w:spacing w:after="200" w:before="80"/>
        <w:ind w:left="360"/>
      </w:pPr>
      <w:r>
        <w:rPr>
          <w:b/>
          <w:bCs/>
          <w:color w:val="1D5A61"/>
        </w:rPr>
        <w:t xml:space="preserve">Namig: </w:t>
      </w:r>
      <w:r>
        <w:t xml:space="preserve">Dobra ugotovitev odgovori na tri vprašanja: Je sistem ustrezen (pokriva, kar delamo)? Je primeren (ne preobsežen, ne prešibek)? Je učinkovit (dosega cilje kakovosti)? Nato navede prednostni področji za naslednje obdobje.</w:t>
      </w:r>
    </w:p>
    <w:p>
      <w:pPr>
        <w:pStyle w:val="Heading1"/>
        <w:spacing w:after="160" w:before="400"/>
      </w:pPr>
      <w:bookmarkStart w:name="_Toc729" w:id="729"/>
      <w:r>
        <w:t xml:space="preserve">6. Kako dodam sklep in ga spremenim v ukrep</w:t>
      </w:r>
      <w:bookmarkEnd w:id="729"/>
    </w:p>
    <w:p>
      <w:pPr>
        <w:spacing w:after="120"/>
      </w:pPr>
      <w:r>
        <w:t xml:space="preserve">Razdelek </w:t>
      </w:r>
      <w:r>
        <w:rPr>
          <w:b/>
          <w:bCs/>
        </w:rPr>
        <w:t xml:space="preserve">Sklepi (ISO 9001 §9.3.3)</w:t>
      </w:r>
      <w:r>
        <w:t xml:space="preserve"> je seznam odločitev pregleda. Vsak sklep ima besedilo, vrsto, odgovornega in rok. V osnutku je pod seznamom obrazec za nov sklep.</w:t>
      </w:r>
    </w:p>
    <w:p>
      <w:pPr>
        <w:pStyle w:val="ListParagraph"/>
        <w:numPr>
          <w:ilvl w:val="0"/>
          <w:numId w:val="6"/>
        </w:numPr>
        <w:spacing w:after="90"/>
      </w:pPr>
      <w:r>
        <w:t xml:space="preserve">V polje </w:t>
      </w:r>
      <w:r>
        <w:rPr>
          <w:b/>
          <w:bCs/>
          <w:color w:val="1D5A61"/>
        </w:rPr>
        <w:t xml:space="preserve">»Nov sklep *«</w:t>
      </w:r>
      <w:r>
        <w:t xml:space="preserve"> napišite odločitev kot dejanje (npr. »Uvesti mesečno spremljanje reklamacij po kupcih«).</w:t>
      </w:r>
    </w:p>
    <w:p>
      <w:pPr>
        <w:pStyle w:val="ListParagraph"/>
        <w:numPr>
          <w:ilvl w:val="0"/>
          <w:numId w:val="6"/>
        </w:numPr>
        <w:spacing w:after="90"/>
      </w:pPr>
      <w:r>
        <w:t xml:space="preserve">Pri </w:t>
      </w:r>
      <w:r>
        <w:rPr>
          <w:b/>
          <w:bCs/>
          <w:color w:val="1D5A61"/>
        </w:rPr>
        <w:t xml:space="preserve">»Vrsta«</w:t>
      </w:r>
      <w:r>
        <w:t xml:space="preserve"> izberite: </w:t>
      </w:r>
      <w:r>
        <w:rPr>
          <w:b/>
          <w:bCs/>
          <w:color w:val="1D5A61"/>
        </w:rPr>
        <w:t xml:space="preserve">»Izboljšava«</w:t>
      </w:r>
      <w:r>
        <w:t xml:space="preserve"> (§9.3.3 a), </w:t>
      </w:r>
      <w:r>
        <w:rPr>
          <w:b/>
          <w:bCs/>
          <w:color w:val="1D5A61"/>
        </w:rPr>
        <w:t xml:space="preserve">»Sprememba SVK«</w:t>
      </w:r>
      <w:r>
        <w:t xml:space="preserve"> (§9.3.3 b), </w:t>
      </w:r>
      <w:r>
        <w:rPr>
          <w:b/>
          <w:bCs/>
          <w:color w:val="1D5A61"/>
        </w:rPr>
        <w:t xml:space="preserve">»Viri«</w:t>
      </w:r>
      <w:r>
        <w:t xml:space="preserve"> (§9.3.3 c) ali </w:t>
      </w:r>
      <w:r>
        <w:rPr>
          <w:b/>
          <w:bCs/>
          <w:color w:val="1D5A61"/>
        </w:rPr>
        <w:t xml:space="preserve">»Drugo«</w:t>
      </w:r>
      <w:r>
        <w:t xml:space="preserve">.</w:t>
      </w:r>
    </w:p>
    <w:p>
      <w:pPr>
        <w:pStyle w:val="ListParagraph"/>
        <w:numPr>
          <w:ilvl w:val="0"/>
          <w:numId w:val="6"/>
        </w:numPr>
        <w:spacing w:after="90"/>
      </w:pPr>
      <w:r>
        <w:t xml:space="preserve">Pri </w:t>
      </w:r>
      <w:r>
        <w:rPr>
          <w:b/>
          <w:bCs/>
          <w:color w:val="1D5A61"/>
        </w:rPr>
        <w:t xml:space="preserve">»Odgovorni«</w:t>
      </w:r>
      <w:r>
        <w:t xml:space="preserve"> izberite osebo iz seznama uporabnikov.</w:t>
      </w:r>
    </w:p>
    <w:p>
      <w:pPr>
        <w:pStyle w:val="ListParagraph"/>
        <w:numPr>
          <w:ilvl w:val="0"/>
          <w:numId w:val="6"/>
        </w:numPr>
        <w:spacing w:after="90"/>
      </w:pPr>
      <w:r>
        <w:t xml:space="preserve">Pri </w:t>
      </w:r>
      <w:r>
        <w:rPr>
          <w:b/>
          <w:bCs/>
          <w:color w:val="1D5A61"/>
        </w:rPr>
        <w:t xml:space="preserve">»Rok«</w:t>
      </w:r>
      <w:r>
        <w:t xml:space="preserve"> vpišite datum, do katerega mora biti sklep izpolnjen.</w:t>
      </w:r>
    </w:p>
    <w:p>
      <w:pPr>
        <w:pStyle w:val="ListParagraph"/>
        <w:numPr>
          <w:ilvl w:val="0"/>
          <w:numId w:val="6"/>
        </w:numPr>
        <w:spacing w:after="90"/>
      </w:pPr>
      <w:r>
        <w:t xml:space="preserve">Kliknite </w:t>
      </w:r>
      <w:r>
        <w:rPr>
          <w:b/>
          <w:bCs/>
          <w:color w:val="1D5A61"/>
        </w:rPr>
        <w:t xml:space="preserve">»+ Dodaj sklep«</w:t>
      </w:r>
      <w:r>
        <w:t xml:space="preserve">. Program potrdi »Sklep dodan.« in sklep se pojavi na seznamu z zaporedno številko in vrstico »vrsta · odgovorni · rok«.</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628775"/>
            <wp:effectExtent t="0" r="0" b="0" l="0"/>
            <wp:docPr id="7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1628775"/>
                    </a:xfrm>
                    <a:prstGeom prst="rect">
                      <a:avLst/>
                    </a:prstGeom>
                  </pic:spPr>
                </pic:pic>
              </a:graphicData>
            </a:graphic>
          </wp:inline>
        </w:drawing>
      </w:r>
    </w:p>
    <w:p>
      <w:pPr>
        <w:spacing w:after="200"/>
        <w:jc w:val="center"/>
      </w:pPr>
      <w:r>
        <w:rPr>
          <w:i/>
          <w:iCs/>
          <w:color w:val="3B4A52"/>
          <w:sz w:val="18"/>
          <w:szCs w:val="18"/>
        </w:rPr>
        <w:t xml:space="preserve">Slika: Obrazec za nov sklep: besedilo, vrsta Viri, odgovorni in rok</w:t>
      </w:r>
    </w:p>
    <w:p>
      <w:pPr>
        <w:pStyle w:val="Heading3"/>
        <w:spacing w:after="80" w:before="200"/>
      </w:pPr>
      <w:r>
        <w:t xml:space="preserve">Sklep → ukrep CAPA</w:t>
      </w:r>
    </w:p>
    <w:p>
      <w:pPr>
        <w:spacing w:after="120"/>
      </w:pPr>
      <w:r>
        <w:t xml:space="preserve">Sklep, ki zahteva izvedbo in spremljanje, spremenite v ukrep: pri sklepu kliknite </w:t>
      </w:r>
      <w:r>
        <w:rPr>
          <w:b/>
          <w:bCs/>
          <w:color w:val="1D5A61"/>
        </w:rPr>
        <w:t xml:space="preserve">»→ CAPA«</w:t>
      </w:r>
      <w:r>
        <w:t xml:space="preserve"> in potrdite. Sklep vodstvenega pregleda je izboljšava, zato nastane </w:t>
      </w:r>
      <w:r>
        <w:rPr>
          <w:b/>
          <w:bCs/>
        </w:rPr>
        <w:t xml:space="preserve">preventivni ukrep (PU)</w:t>
      </w:r>
      <w:r>
        <w:t xml:space="preserve">; če sklep izhaja iz neskladnosti, izberite »Prekliči« in ukrep odprite ročno kot korektivnega. Program ustvari ukrep v modulu CAPA z virom »vodstveni pregled«, opisom »Sklep vodstvenega pregleda (datum v obliki vašega jezika): …«, istim odgovornim in rokom; vodja kakovosti dobi obvestilo. Pri sklepu se pokaže številka ukrepa in njegovo </w:t>
      </w:r>
      <w:r>
        <w:rPr>
          <w:b/>
          <w:bCs/>
        </w:rPr>
        <w:t xml:space="preserve">živo stanje</w:t>
      </w:r>
      <w:r>
        <w:t xml:space="preserve"> (npr. »PU-2026-012 (Odprt)«), gumb pa se spremeni v </w:t>
      </w:r>
      <w:r>
        <w:rPr>
          <w:b/>
          <w:bCs/>
          <w:color w:val="1D5A61"/>
        </w:rPr>
        <w:t xml:space="preserve">»Odpri ukrep«</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695325"/>
            <wp:effectExtent t="0" r="0" b="0" l="0"/>
            <wp:docPr id="7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695325"/>
                    </a:xfrm>
                    <a:prstGeom prst="rect">
                      <a:avLst/>
                    </a:prstGeom>
                  </pic:spPr>
                </pic:pic>
              </a:graphicData>
            </a:graphic>
          </wp:inline>
        </w:drawing>
      </w:r>
    </w:p>
    <w:p>
      <w:pPr>
        <w:spacing w:after="200"/>
        <w:jc w:val="center"/>
      </w:pPr>
      <w:r>
        <w:rPr>
          <w:i/>
          <w:iCs/>
          <w:color w:val="3B4A52"/>
          <w:sz w:val="18"/>
          <w:szCs w:val="18"/>
        </w:rPr>
        <w:t xml:space="preserve">Slika: Seznam sklepov: prvi je že pretvorjen v ukrep (številka in stanje, gumb Odpri ukrep), drugi še ima gumb → CAPA in koš za brisanje</w:t>
      </w:r>
    </w:p>
    <w:p>
      <w:pPr>
        <w:pStyle w:val="ListParagraph"/>
        <w:numPr>
          <w:ilvl w:val="0"/>
          <w:numId w:val="2"/>
        </w:numPr>
        <w:spacing w:after="60"/>
      </w:pPr>
      <w:r>
        <w:t xml:space="preserve">Sklep izbrišete z 🗑 — samo v osnutku. Sklepa, ki je že povezan z ukrepom, ni mogoče še enkrat pretvoriti (»Sklep je že povezan z ukrepom.«).</w:t>
      </w:r>
    </w:p>
    <w:p>
      <w:pPr>
        <w:pStyle w:val="ListParagraph"/>
        <w:numPr>
          <w:ilvl w:val="0"/>
          <w:numId w:val="2"/>
        </w:numPr>
        <w:spacing w:after="60"/>
      </w:pPr>
      <w:r>
        <w:t xml:space="preserve">Pretvorba v ukrep je mogoča tudi pri zaključenem pregledu — sklepi so odločitve, ukrepi pa njihova izvedba.</w:t>
      </w:r>
    </w:p>
    <w:p>
      <w:pPr>
        <w:pStyle w:val="ListParagraph"/>
        <w:numPr>
          <w:ilvl w:val="0"/>
          <w:numId w:val="2"/>
        </w:numPr>
        <w:spacing w:after="60"/>
      </w:pPr>
      <w:r>
        <w:t xml:space="preserve">Stanje ukrepa se pri sklepu posodablja samo: ko ukrep v modulu CAPA zaprete, bo tu pisalo »(Zaprt)« — in enako v točki a) naslednjega pregleda.</w:t>
      </w:r>
    </w:p>
    <w:p>
      <w:pPr>
        <w:pBdr>
          <w:left w:val="single" w:color="B45309" w:sz="18" w:space="8"/>
        </w:pBdr>
        <w:spacing w:after="200" w:before="80"/>
        <w:ind w:left="360"/>
      </w:pPr>
      <w:r>
        <w:rPr>
          <w:b/>
          <w:bCs/>
          <w:color w:val="B45309"/>
        </w:rPr>
        <w:t xml:space="preserve">Pozor: </w:t>
      </w:r>
      <w:r>
        <w:t xml:space="preserve">Sklep brez odgovornega in roka je želja, ne odločitev — zato ju program zahteva: brez izbranega odgovornega in vpisanega roka sklepa ne sprejme.</w:t>
      </w:r>
    </w:p>
    <w:p>
      <w:pPr>
        <w:pStyle w:val="Heading1"/>
        <w:spacing w:after="160" w:before="400"/>
      </w:pPr>
      <w:bookmarkStart w:name="_Toc730" w:id="730"/>
      <w:r>
        <w:t xml:space="preserve">7. Kako pregled zaključim in natisnem zapisnik</w:t>
      </w:r>
      <w:bookmarkEnd w:id="730"/>
    </w:p>
    <w:p>
      <w:pPr>
        <w:pStyle w:val="ListParagraph"/>
        <w:numPr>
          <w:ilvl w:val="0"/>
          <w:numId w:val="7"/>
        </w:numPr>
        <w:spacing w:after="90"/>
      </w:pPr>
      <w:r>
        <w:t xml:space="preserve">Preverite komentarje, ugotovitve in sklepe. Po zaključku jih ne bo več mogoče spremeniti.</w:t>
      </w:r>
    </w:p>
    <w:p>
      <w:pPr>
        <w:pStyle w:val="ListParagraph"/>
        <w:numPr>
          <w:ilvl w:val="0"/>
          <w:numId w:val="7"/>
        </w:numPr>
        <w:spacing w:after="90"/>
      </w:pPr>
      <w:r>
        <w:t xml:space="preserve">Dokler pregled ni popoln, je nad gumbi okvir »Pred zaključkom dopolnite:« s seznamom, kaj manjka: splošne ugotovitve, vsaj en sklep in odgovorna oseba ter rok pri vsakem sklepu. Okvir se osveži sproti — takoj ko vpišete ugotovitve ali dodate sklep, postavka izgine. Pregleda brez tega ni mogoče zaključiti — tak pregled bi bil zgolj formalnost in ga kazalnik »Vodstveni pregledi« tudi ne šteje.</w:t>
      </w:r>
    </w:p>
    <w:p>
      <w:pPr>
        <w:pStyle w:val="ListParagraph"/>
        <w:numPr>
          <w:ilvl w:val="0"/>
          <w:numId w:val="7"/>
        </w:numPr>
        <w:spacing w:after="90"/>
      </w:pPr>
      <w:r>
        <w:t xml:space="preserve">Kliknite </w:t>
      </w:r>
      <w:r>
        <w:rPr>
          <w:b/>
          <w:bCs/>
          <w:color w:val="1D5A61"/>
        </w:rPr>
        <w:t xml:space="preserve">»🔒 Zaključi pregled«</w:t>
      </w:r>
      <w:r>
        <w:t xml:space="preserve">. Če kaj manjka, se potrditveno okno ne odpre: okvir postane rdeč in utripne, sporočilo našteje vse manjkajoče, kazalec pa skoči v prvo manjkajoče polje (ugotovitve ali obrazec za sklep; sklep brez odgovornega ali roka je obrobljen rdeče — izbrišite ga in vpišite znova). Ko je vse izpolnjeno, potrdite vprašanje »Zaključiti pregled? Zapisnik se zaklene …«; če so kake točke vhodov brez komentarja vodstva, jih isto okno našteje.</w:t>
      </w:r>
    </w:p>
    <w:p>
      <w:pPr>
        <w:pStyle w:val="ListParagraph"/>
        <w:numPr>
          <w:ilvl w:val="0"/>
          <w:numId w:val="7"/>
        </w:numPr>
        <w:spacing w:after="90"/>
      </w:pPr>
      <w:r>
        <w:t xml:space="preserve">Pregled dobi značko </w:t>
      </w:r>
      <w:r>
        <w:rPr>
          <w:b/>
          <w:bCs/>
        </w:rPr>
        <w:t xml:space="preserve">Zaključen 🔒</w:t>
      </w:r>
      <w:r>
        <w:t xml:space="preserve"> in vrstico »Zaključil/a (ime), (datum)«. Polja postanejo samo za branje, gumba Osveži vhode in Zaključi izgineta, komentarji so prikazani kot besedilo.</w:t>
      </w:r>
    </w:p>
    <w:p>
      <w:pPr>
        <w:pStyle w:val="ListParagraph"/>
        <w:numPr>
          <w:ilvl w:val="0"/>
          <w:numId w:val="7"/>
        </w:numPr>
        <w:spacing w:after="90"/>
      </w:pPr>
      <w:r>
        <w:t xml:space="preserve">Kliknite </w:t>
      </w:r>
      <w:r>
        <w:rPr>
          <w:b/>
          <w:bCs/>
          <w:color w:val="1D5A61"/>
        </w:rPr>
        <w:t xml:space="preserve">»🖨️ Zapisnik PDF«</w:t>
      </w:r>
      <w:r>
        <w:t xml:space="preserve">. Med pripravo (1–2 sekundi) piše »Pripravljam PDF …« in gumb ni aktiven. Prenese se datoteka »zapisnik-vodstvenega-pregleda_&lt;datum pregleda&gt;.pdf« — v imenu je datum pregleda, ne datum prenosa (v angleškem vmesniku z angleškim imenom).</w:t>
      </w:r>
    </w:p>
    <w:p>
      <w:pPr>
        <w:pBdr>
          <w:left w:val="single" w:color="1D5A61" w:sz="18" w:space="8"/>
        </w:pBdr>
        <w:spacing w:after="200" w:before="80"/>
        <w:ind w:left="360"/>
      </w:pPr>
      <w:r>
        <w:rPr>
          <w:b/>
          <w:bCs/>
          <w:color w:val="1D5A61"/>
        </w:rPr>
        <w:t xml:space="preserve">Namig: </w:t>
      </w:r>
      <w:r>
        <w:t xml:space="preserve">Na dnu pregleda je razdelek </w:t>
      </w:r>
      <w:r>
        <w:rPr>
          <w:b/>
          <w:bCs/>
        </w:rPr>
        <w:t xml:space="preserve">Zaključek pregleda</w:t>
      </w:r>
      <w:r>
        <w:t xml:space="preserve">: v osnutku ponovi seznam »Pred zaključkom dopolnite:« (ali »Vse potrebno je vpisano …«) in ima isti gumb </w:t>
      </w:r>
      <w:r>
        <w:rPr>
          <w:b/>
          <w:bCs/>
          <w:color w:val="1D5A61"/>
        </w:rPr>
        <w:t xml:space="preserve">»🔒 Zaključi pregled«</w:t>
      </w:r>
      <w:r>
        <w:t xml:space="preserve"> kot glava — ni se treba vračati na vrh. Na zaključenem pregledu pove, kdo in kdaj ga je zaključil.</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790575"/>
            <wp:effectExtent t="0" r="0" b="0" l="0"/>
            <wp:docPr id="7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905500" cy="790575"/>
                    </a:xfrm>
                    <a:prstGeom prst="rect">
                      <a:avLst/>
                    </a:prstGeom>
                  </pic:spPr>
                </pic:pic>
              </a:graphicData>
            </a:graphic>
          </wp:inline>
        </w:drawing>
      </w:r>
    </w:p>
    <w:p>
      <w:pPr>
        <w:spacing w:after="200"/>
        <w:jc w:val="center"/>
      </w:pPr>
      <w:r>
        <w:rPr>
          <w:i/>
          <w:iCs/>
          <w:color w:val="3B4A52"/>
          <w:sz w:val="18"/>
          <w:szCs w:val="18"/>
        </w:rPr>
        <w:t xml:space="preserve">Slika: Razdelek Zaključek pregleda na dnu osnutka: pogoj za zaključek, potrditev »Vse potrebno je vpisano« in gumb Zaključi pregled</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066800"/>
            <wp:effectExtent t="0" r="0" b="0" l="0"/>
            <wp:docPr id="7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905500" cy="1066800"/>
                    </a:xfrm>
                    <a:prstGeom prst="rect">
                      <a:avLst/>
                    </a:prstGeom>
                  </pic:spPr>
                </pic:pic>
              </a:graphicData>
            </a:graphic>
          </wp:inline>
        </w:drawing>
      </w:r>
    </w:p>
    <w:p>
      <w:pPr>
        <w:spacing w:after="200"/>
        <w:jc w:val="center"/>
      </w:pPr>
      <w:r>
        <w:rPr>
          <w:i/>
          <w:iCs/>
          <w:color w:val="3B4A52"/>
          <w:sz w:val="18"/>
          <w:szCs w:val="18"/>
        </w:rPr>
        <w:t xml:space="preserve">Slika: Sklepi zaključenega pregleda: povezan ukrep z živim stanjem in gumba → CAPA pri še nepretvorjenih sklepih</w:t>
      </w:r>
    </w:p>
    <w:p>
      <w:pPr>
        <w:spacing w:after="120"/>
      </w:pPr>
      <w:r>
        <w:t xml:space="preserve">Zapisnik PDF vsebuje: glavo vaše organizacije, osnovne podatke (pregled, datum, obdobje, stanje, prisotni), vse vhode s komentarji vodstva (točka a) tudi s stanjem ukrepov prejšnjega pregleda), splošne ugotovitve, tabelo sklepov (sklep, vrsta, odgovorni, rok, ukrep CAPA), kdo in kdaj je pregled zaključil, ter prostor za podpisa »Zapisal/a« (z imenom osebe, ki je pregled ustvarila) in »Direktor / vodstvo« (z imenom osebe, ki ga je zaključila). Datumi so zapisani v obliki jezika zapisnika.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8343900"/>
            <wp:effectExtent t="0" r="0" b="0" l="0"/>
            <wp:docPr id="74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05500" cy="8343900"/>
                    </a:xfrm>
                    <a:prstGeom prst="rect">
                      <a:avLst/>
                    </a:prstGeom>
                  </pic:spPr>
                </pic:pic>
              </a:graphicData>
            </a:graphic>
          </wp:inline>
        </w:drawing>
      </w:r>
    </w:p>
    <w:p>
      <w:pPr>
        <w:spacing w:after="200"/>
        <w:jc w:val="center"/>
      </w:pPr>
      <w:r>
        <w:rPr>
          <w:i/>
          <w:iCs/>
          <w:color w:val="3B4A52"/>
          <w:sz w:val="18"/>
          <w:szCs w:val="18"/>
        </w:rPr>
        <w:t xml:space="preserve">Slika: Prva stran zapisnika PDF z osnovnimi podatki in vhodi</w:t>
      </w:r>
    </w:p>
    <w:p>
      <w:pPr>
        <w:pBdr>
          <w:left w:val="single" w:color="B45309" w:sz="18" w:space="8"/>
        </w:pBdr>
        <w:spacing w:after="200" w:before="80"/>
        <w:ind w:left="360"/>
      </w:pPr>
      <w:r>
        <w:rPr>
          <w:b/>
          <w:bCs/>
          <w:color w:val="B45309"/>
        </w:rPr>
        <w:t xml:space="preserve">Pozor: </w:t>
      </w:r>
      <w:r>
        <w:t xml:space="preserve">Zaključek je dokončen. Če ste zaključili prehitro, napake ne morete popraviti v istem pregledu — ustvarite nov pregled (npr. »Vodstveni pregled 2026 — popravek«) in v ugotovitvah pojasnite razlog. Zaključitev in ustvarjanje sta zabeležena v revizijski sledi (kdo, kdaj).</w:t>
      </w:r>
    </w:p>
    <w:p>
      <w:pPr>
        <w:pBdr>
          <w:left w:val="single" w:color="1D5A61" w:sz="18" w:space="8"/>
        </w:pBdr>
        <w:spacing w:after="200" w:before="80"/>
        <w:ind w:left="360"/>
      </w:pPr>
      <w:r>
        <w:rPr>
          <w:b/>
          <w:bCs/>
          <w:color w:val="1D5A61"/>
        </w:rPr>
        <w:t xml:space="preserve">Namig: </w:t>
      </w:r>
      <w:r>
        <w:t xml:space="preserve">PDF lahko prenesete tudi za osnutek — npr. kot gradivo za sestanek; v glavi bo pisalo stanje »Osnutek«.</w:t>
      </w:r>
    </w:p>
    <w:p>
      <w:pPr>
        <w:spacing w:after="120"/>
      </w:pPr>
      <w:r>
        <w:t xml:space="preserve">Pod sklepi je razdelek </w:t>
      </w:r>
      <w:r>
        <w:rPr>
          <w:b/>
          <w:bCs/>
        </w:rPr>
        <w:t xml:space="preserve">Sled odločitve</w:t>
      </w:r>
      <w:r>
        <w:t xml:space="preserve"> (najnovejše na vrhu): kdo je pregled ustvaril, popravil obdobje, dodal ali izbrisal sklep (z besedilom sklepa), sklep spremenil v ukrep (s številko) in pregled zaključil (§9.3.3). Ista sled je v zapisniku PDF kot razdelek »Sled odločitve« (kronološko, pred podpisi); skrbnik ga lahko izklopi v nastavitvah izpisov.</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628775"/>
            <wp:effectExtent t="0" r="0" b="0" l="0"/>
            <wp:docPr id="7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905500" cy="1628775"/>
                    </a:xfrm>
                    <a:prstGeom prst="rect">
                      <a:avLst/>
                    </a:prstGeom>
                  </pic:spPr>
                </pic:pic>
              </a:graphicData>
            </a:graphic>
          </wp:inline>
        </w:drawing>
      </w:r>
    </w:p>
    <w:p>
      <w:pPr>
        <w:spacing w:after="200"/>
        <w:jc w:val="center"/>
      </w:pPr>
      <w:r>
        <w:rPr>
          <w:i/>
          <w:iCs/>
          <w:color w:val="3B4A52"/>
          <w:sz w:val="18"/>
          <w:szCs w:val="18"/>
        </w:rPr>
        <w:t xml:space="preserve">Slika: Sled odločitve pregleda pod sklepi, najnovejše na vrhu: pregled ustvarjen, dodana sklepa, iz sklepa ustvarjen ukrep CAPA — kdo in kdaj</w:t>
      </w:r>
    </w:p>
    <w:p>
      <w:pPr>
        <w:pStyle w:val="Heading1"/>
        <w:spacing w:after="160" w:before="400"/>
      </w:pPr>
      <w:bookmarkStart w:name="_Toc731" w:id="731"/>
      <w:r>
        <w:t xml:space="preserve">8. Pogovor ob pregledu in povezave z drugimi moduli</w:t>
      </w:r>
      <w:bookmarkEnd w:id="731"/>
    </w:p>
    <w:p>
      <w:pPr>
        <w:pStyle w:val="ListParagraph"/>
        <w:numPr>
          <w:ilvl w:val="0"/>
          <w:numId w:val="2"/>
        </w:numPr>
        <w:spacing w:after="60"/>
      </w:pPr>
      <w:r>
        <w:rPr>
          <w:b/>
          <w:bCs/>
        </w:rPr>
        <w:t xml:space="preserve">💬 Pogovor</w:t>
      </w:r>
      <w:r>
        <w:t xml:space="preserve"> na dnu strani je razprava, vezana na ta pregled (kot pri ukrepih in pritožbah). Sporočil ni mogoče urejati ali brisati — so del zapisa kakovosti. Z »@Ime Priimek« omenite sodelavca, ki dobi obvestilo.</w:t>
      </w:r>
    </w:p>
    <w:p>
      <w:pPr>
        <w:pStyle w:val="ListParagraph"/>
        <w:numPr>
          <w:ilvl w:val="0"/>
          <w:numId w:val="2"/>
        </w:numPr>
        <w:spacing w:after="60"/>
      </w:pPr>
      <w:r>
        <w:rPr>
          <w:b/>
          <w:bCs/>
        </w:rPr>
        <w:t xml:space="preserve">CAPA ukrepi</w:t>
      </w:r>
      <w:r>
        <w:t xml:space="preserve">: ukrepi, ustvarjeni iz sklepov, imajo vir »vodstveni pregled« in so vidni v modulu CAPA, v Planerju (rok izvedbe) in v KPI.</w:t>
      </w:r>
    </w:p>
    <w:p>
      <w:pPr>
        <w:pStyle w:val="ListParagraph"/>
        <w:numPr>
          <w:ilvl w:val="0"/>
          <w:numId w:val="2"/>
        </w:numPr>
        <w:spacing w:after="60"/>
      </w:pPr>
      <w:r>
        <w:rPr>
          <w:b/>
          <w:bCs/>
        </w:rPr>
        <w:t xml:space="preserve">KPI in cilji</w:t>
      </w:r>
      <w:r>
        <w:t xml:space="preserve">: kazalnik »Vodstveni pregledi v zadnjih 12 mesecih« (cilj 1) postane dosežen, ko pregled zaključite; stran Stanje za vodstvo je koristen vhod za ugotovitve.</w:t>
      </w:r>
    </w:p>
    <w:p>
      <w:pPr>
        <w:pStyle w:val="ListParagraph"/>
        <w:numPr>
          <w:ilvl w:val="0"/>
          <w:numId w:val="2"/>
        </w:numPr>
        <w:spacing w:after="60"/>
      </w:pPr>
      <w:r>
        <w:rPr>
          <w:b/>
          <w:bCs/>
        </w:rPr>
        <w:t xml:space="preserve">Naslednji pregled</w:t>
      </w:r>
      <w:r>
        <w:t xml:space="preserve">: sklepi tega pregleda se v naslednjem pojavijo kot točka a) z živim stanjem ukrepov — krog §9.3 se sklene sam.</w:t>
      </w:r>
    </w:p>
    <w:p>
      <w:pPr>
        <w:pStyle w:val="ListParagraph"/>
        <w:numPr>
          <w:ilvl w:val="0"/>
          <w:numId w:val="2"/>
        </w:numPr>
        <w:spacing w:after="60"/>
      </w:pPr>
      <w:r>
        <w:rPr>
          <w:b/>
          <w:bCs/>
        </w:rPr>
        <w:t xml:space="preserve">Uvedba standarda</w:t>
      </w:r>
      <w:r>
        <w:t xml:space="preserve">: zaključen pregled šteje kot dokaz za korak uvedbe »vodstveni pregled«.</w:t>
      </w:r>
    </w:p>
    <w:p>
      <w:pPr>
        <w:pStyle w:val="Heading1"/>
        <w:spacing w:after="160" w:before="400"/>
      </w:pPr>
      <w:bookmarkStart w:name="_Toc732" w:id="732"/>
      <w:r>
        <w:t xml:space="preserve">9. Vklop modula in dostopi (za skrbnika)</w:t>
      </w:r>
      <w:r>
        <w:rPr>
          <w:b w:val="false"/>
          <w:bCs w:val="false"/>
          <w:color w:val="3B4A52"/>
          <w:sz w:val="20"/>
          <w:szCs w:val="20"/>
        </w:rPr>
        <w:t xml:space="preserve">  [skrbnik]</w:t>
      </w:r>
      <w:bookmarkEnd w:id="732"/>
    </w:p>
    <w:p>
      <w:pPr>
        <w:spacing w:after="120"/>
      </w:pPr>
      <w:r>
        <w:t xml:space="preserve">Vodstveni pregled je samostojen modul v licenci; brez njega stran pokaže »Modul Vodstveni pregled ni vklopljen za vašo organizacijo.«. Kdo ga sme gledati in kdo urejati, določa profil dostopa (Uporabniki → </w:t>
      </w:r>
      <w:r>
        <w:rPr>
          <w:b/>
          <w:bCs/>
          <w:color w:val="1D5A61"/>
        </w:rPr>
        <w:t xml:space="preserve">»🔐 Dostopi«</w:t>
      </w:r>
      <w:r>
        <w:t xml:space="preserve">, stolpec Vodstveni pregled):</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Raven</w:t>
            </w:r>
          </w:p>
        </w:tc>
        <w:tc>
          <w:tcPr>
            <w:tcW w:type="dxa" w:w="4700"/>
            <w:shd w:fill="1D5A61" w:color="auto" w:val="clear"/>
            <w:tcMar>
              <w:top w:type="dxa" w:w="80"/>
              <w:left w:type="dxa" w:w="100"/>
              <w:bottom w:type="dxa" w:w="80"/>
              <w:right w:type="dxa" w:w="100"/>
            </w:tcMar>
          </w:tcPr>
          <w:p>
            <w:r>
              <w:rPr>
                <w:b/>
                <w:bCs/>
                <w:color w:val="FFFFFF"/>
                <w:sz w:val="20"/>
                <w:szCs w:val="20"/>
              </w:rPr>
              <w:t xml:space="preserve">Kaj dovoli</w:t>
            </w:r>
          </w:p>
        </w:tc>
      </w:tr>
      <w:tr>
        <w:tc>
          <w:tcPr>
            <w:tcW w:type="dxa" w:w="4700"/>
            <w:tcMar>
              <w:top w:type="dxa" w:w="80"/>
              <w:left w:type="dxa" w:w="100"/>
              <w:bottom w:type="dxa" w:w="80"/>
              <w:right w:type="dxa" w:w="100"/>
            </w:tcMar>
          </w:tcPr>
          <w:p>
            <w:r>
              <w:rPr>
                <w:sz w:val="20"/>
                <w:szCs w:val="20"/>
              </w:rPr>
              <w:t xml:space="preserve">nič</w:t>
            </w:r>
          </w:p>
        </w:tc>
        <w:tc>
          <w:tcPr>
            <w:tcW w:type="dxa" w:w="4700"/>
            <w:tcMar>
              <w:top w:type="dxa" w:w="80"/>
              <w:left w:type="dxa" w:w="100"/>
              <w:bottom w:type="dxa" w:w="80"/>
              <w:right w:type="dxa" w:w="100"/>
            </w:tcMar>
          </w:tcPr>
          <w:p>
            <w:r>
              <w:rPr>
                <w:sz w:val="20"/>
                <w:szCs w:val="20"/>
              </w:rPr>
              <w:t xml:space="preserve">stran vrne »Vodstveni pregled je na voljo administratorjem organizacije.« (ploščica na domači strani se ne prikaže)</w:t>
            </w:r>
          </w:p>
        </w:tc>
      </w:tr>
      <w:tr>
        <w:tc>
          <w:tcPr>
            <w:tcW w:type="dxa" w:w="4700"/>
            <w:tcMar>
              <w:top w:type="dxa" w:w="80"/>
              <w:left w:type="dxa" w:w="100"/>
              <w:bottom w:type="dxa" w:w="80"/>
              <w:right w:type="dxa" w:w="100"/>
            </w:tcMar>
          </w:tcPr>
          <w:p>
            <w:r>
              <w:rPr>
                <w:sz w:val="20"/>
                <w:szCs w:val="20"/>
              </w:rPr>
              <w:t xml:space="preserve">bere</w:t>
            </w:r>
          </w:p>
        </w:tc>
        <w:tc>
          <w:tcPr>
            <w:tcW w:type="dxa" w:w="4700"/>
            <w:tcMar>
              <w:top w:type="dxa" w:w="80"/>
              <w:left w:type="dxa" w:w="100"/>
              <w:bottom w:type="dxa" w:w="80"/>
              <w:right w:type="dxa" w:w="100"/>
            </w:tcMar>
          </w:tcPr>
          <w:p>
            <w:r>
              <w:rPr>
                <w:sz w:val="20"/>
                <w:szCs w:val="20"/>
              </w:rPr>
              <w:t xml:space="preserve">ogled seznama in pregledov, prenos PDF, Excel izvoz, pogovor</w:t>
            </w:r>
          </w:p>
        </w:tc>
      </w:tr>
      <w:tr>
        <w:tc>
          <w:tcPr>
            <w:tcW w:type="dxa" w:w="4700"/>
            <w:tcMar>
              <w:top w:type="dxa" w:w="80"/>
              <w:left w:type="dxa" w:w="100"/>
              <w:bottom w:type="dxa" w:w="80"/>
              <w:right w:type="dxa" w:w="100"/>
            </w:tcMar>
          </w:tcPr>
          <w:p>
            <w:r>
              <w:rPr>
                <w:sz w:val="20"/>
                <w:szCs w:val="20"/>
              </w:rPr>
              <w:t xml:space="preserve">ureja</w:t>
            </w:r>
          </w:p>
        </w:tc>
        <w:tc>
          <w:tcPr>
            <w:tcW w:type="dxa" w:w="4700"/>
            <w:tcMar>
              <w:top w:type="dxa" w:w="80"/>
              <w:left w:type="dxa" w:w="100"/>
              <w:bottom w:type="dxa" w:w="80"/>
              <w:right w:type="dxa" w:w="100"/>
            </w:tcMar>
          </w:tcPr>
          <w:p>
            <w:r>
              <w:rPr>
                <w:sz w:val="20"/>
                <w:szCs w:val="20"/>
              </w:rPr>
              <w:t xml:space="preserve">vse zgoraj + ustvarjanje, komentarji, ugotovitve, sklepi, pretvorba v CAPA, osvežitev vhodov, zaključitev</w:t>
            </w:r>
          </w:p>
        </w:tc>
      </w:tr>
    </w:tbl>
    <w:p>
      <w:pPr>
        <w:spacing w:after="160"/>
      </w:pP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2914650" cy="2867025"/>
            <wp:effectExtent t="0" r="0" b="0" l="0"/>
            <wp:docPr id="74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914650" cy="2867025"/>
                    </a:xfrm>
                    <a:prstGeom prst="rect">
                      <a:avLst/>
                    </a:prstGeom>
                  </pic:spPr>
                </pic:pic>
              </a:graphicData>
            </a:graphic>
          </wp:inline>
        </w:drawing>
      </w:r>
    </w:p>
    <w:p>
      <w:pPr>
        <w:spacing w:after="200"/>
        <w:jc w:val="center"/>
      </w:pPr>
      <w:r>
        <w:rPr>
          <w:i/>
          <w:iCs/>
          <w:color w:val="3B4A52"/>
          <w:sz w:val="18"/>
          <w:szCs w:val="18"/>
        </w:rPr>
        <w:t xml:space="preserve">Slika: Ploščica Vodstveni pregled na domači strani</w:t>
      </w:r>
    </w:p>
    <w:p>
      <w:pPr>
        <w:pStyle w:val="ListParagraph"/>
        <w:numPr>
          <w:ilvl w:val="0"/>
          <w:numId w:val="2"/>
        </w:numPr>
        <w:spacing w:after="60"/>
      </w:pPr>
      <w:r>
        <w:t xml:space="preserve">Privzeto imata raven ureja Administrator in Vodja kakovosti; Notranji presojevalec in Zaposleni modula ne vidita. Če naj direktor pregled bere, mu dodelite profil z ravnjo »bere«.</w:t>
      </w:r>
    </w:p>
    <w:p>
      <w:pPr>
        <w:pStyle w:val="ListParagraph"/>
        <w:numPr>
          <w:ilvl w:val="0"/>
          <w:numId w:val="2"/>
        </w:numPr>
        <w:spacing w:after="60"/>
      </w:pPr>
      <w:r>
        <w:t xml:space="preserve">Gumb </w:t>
      </w:r>
      <w:r>
        <w:rPr>
          <w:b/>
          <w:bCs/>
          <w:color w:val="1D5A61"/>
        </w:rPr>
        <w:t xml:space="preserve">»✨ Pripravi osnutek z AI«</w:t>
      </w:r>
      <w:r>
        <w:t xml:space="preserve"> se pokaže samo, če je vključen modul AI pomočnik.</w:t>
      </w:r>
    </w:p>
    <w:p>
      <w:pPr>
        <w:pStyle w:val="ListParagraph"/>
        <w:numPr>
          <w:ilvl w:val="0"/>
          <w:numId w:val="2"/>
        </w:numPr>
        <w:spacing w:after="60"/>
      </w:pPr>
      <w:r>
        <w:t xml:space="preserve">Točke vhodov sledijo vključenim modulom: ko vključite npr. Neskladne izhode, se točka »Skladnost proizvodov/storitev« pojavi v naslednjem novem (ali osveženem) pregledu.</w:t>
      </w:r>
    </w:p>
    <w:p>
      <w:pPr>
        <w:pStyle w:val="ListParagraph"/>
        <w:numPr>
          <w:ilvl w:val="0"/>
          <w:numId w:val="2"/>
        </w:numPr>
        <w:spacing w:after="60"/>
      </w:pPr>
      <w:r>
        <w:t xml:space="preserve">Dogodki »vodstveni pregled ustvarjen«, »sklep v CAPA« in »vodstveni pregled zaključen« so v revizijski sledi.</w:t>
      </w:r>
    </w:p>
    <w:p>
      <w:pPr>
        <w:pStyle w:val="Heading1"/>
        <w:spacing w:after="160" w:before="400"/>
      </w:pPr>
      <w:bookmarkStart w:name="_Toc733" w:id="733"/>
      <w:r>
        <w:t xml:space="preserve">10. Pogosta vprašanja in težave</w:t>
      </w:r>
      <w:bookmarkEnd w:id="733"/>
    </w:p>
    <w:p>
      <w:pPr>
        <w:pStyle w:val="Heading3"/>
        <w:spacing w:after="80" w:before="200"/>
      </w:pPr>
      <w:r>
        <w:t xml:space="preserve">Ne vidim gumba + Nov pregled</w:t>
      </w:r>
    </w:p>
    <w:p>
      <w:pPr>
        <w:spacing w:after="120"/>
      </w:pPr>
      <w:r>
        <w:t xml:space="preserve">Imate raven »bere«. Ustvarjanje, urejanje in zaključevanje zahteva raven »ureja« na modulu Vodstveni pregled — dodeli jo skrbnik.</w:t>
      </w:r>
    </w:p>
    <w:p>
      <w:pPr>
        <w:pStyle w:val="Heading3"/>
        <w:spacing w:after="80" w:before="200"/>
      </w:pPr>
      <w:r>
        <w:t xml:space="preserve">V vhodih manjka točka (npr. dobavitelji ali usposabljanja)</w:t>
      </w:r>
    </w:p>
    <w:p>
      <w:pPr>
        <w:spacing w:after="120"/>
      </w:pPr>
      <w:r>
        <w:t xml:space="preserve">Podjetje nima vključenega tega modula ali pa je bil vključen po ustvarjanju pregleda. Vključite modul in v osnutku kliknite Osveži vhode.</w:t>
      </w:r>
    </w:p>
    <w:p>
      <w:pPr>
        <w:pStyle w:val="Heading3"/>
        <w:spacing w:after="80" w:before="200"/>
      </w:pPr>
      <w:r>
        <w:t xml:space="preserve">Točke a) Ukrepi iz prejšnjega pregleda ni</w:t>
      </w:r>
    </w:p>
    <w:p>
      <w:pPr>
        <w:spacing w:after="120"/>
      </w:pPr>
      <w:r>
        <w:t xml:space="preserve">To je vaš prvi pregled — ni še nobenega zaključenega pregleda, iz katerega bi program vzel sklepe. Pri naslednjem pregledu bo točka a) prisotna.</w:t>
      </w:r>
    </w:p>
    <w:p>
      <w:pPr>
        <w:pStyle w:val="Heading3"/>
        <w:spacing w:after="80" w:before="200"/>
      </w:pPr>
      <w:r>
        <w:t xml:space="preserve">Številke se ne ujemajo s tistimi v modulih</w:t>
      </w:r>
    </w:p>
    <w:p>
      <w:pPr>
        <w:spacing w:after="120"/>
      </w:pPr>
      <w:r>
        <w:t xml:space="preserve">Vhodi so posnetek ob ustvarjanju. Kliknite Osveži vhode (samo v osnutku). Pozor: števci »v obdobju« štejejo zapise po datumu nastanka oz. zaključka znotraj obdobja, števci »trenutno« pa današnje stanje. S povezavo Odpri ↗ odprete natanko zapise, ki jih številka šteje — če se seznam razlikuje, so se podatki spremenili po sestavi vhodov.</w:t>
      </w:r>
    </w:p>
    <w:p>
      <w:pPr>
        <w:pStyle w:val="Heading3"/>
        <w:spacing w:after="80" w:before="200"/>
      </w:pPr>
      <w:r>
        <w:t xml:space="preserve">Komentar se ni shranil</w:t>
      </w:r>
    </w:p>
    <w:p>
      <w:pPr>
        <w:spacing w:after="120"/>
      </w:pPr>
      <w:r>
        <w:t xml:space="preserve">Osnutek se shrani samodejno sekundo po tipkanju. Če ste stran zaprli takoj po zadnjem znaku, se zadnja sprememba morda ni shranila — preverite in dopolnite. Pri zaključenem pregledu urejanje ni mogoče.</w:t>
      </w:r>
    </w:p>
    <w:p>
      <w:pPr>
        <w:pStyle w:val="Heading3"/>
        <w:spacing w:after="80" w:before="200"/>
      </w:pPr>
      <w:r>
        <w:t xml:space="preserve">Zaključil sem pregled, a bi rad popravil sklep</w:t>
      </w:r>
    </w:p>
    <w:p>
      <w:pPr>
        <w:spacing w:after="120"/>
      </w:pPr>
      <w:r>
        <w:t xml:space="preserve">Zaključen pregled je zaklenjen. Iz sklepa lahko še ustvarite ukrep CAPA in v njem zapišete natančnejšo vsebino, ali pa ustvarite nov pregled s popravkom.</w:t>
      </w:r>
    </w:p>
    <w:p>
      <w:pPr>
        <w:pStyle w:val="Heading3"/>
        <w:spacing w:after="80" w:before="200"/>
      </w:pPr>
      <w:r>
        <w:t xml:space="preserve">Gumba za AI ni</w:t>
      </w:r>
    </w:p>
    <w:p>
      <w:pPr>
        <w:spacing w:after="120"/>
      </w:pPr>
      <w:r>
        <w:t xml:space="preserve">Modul AI pomočnik ni vključen ali pregled ni več osnutek. Ugotovitve napišite ročno.</w:t>
      </w:r>
    </w:p>
    <w:p>
      <w:pPr>
        <w:pStyle w:val="Heading3"/>
        <w:spacing w:after="80" w:before="200"/>
      </w:pPr>
      <w:r>
        <w:t xml:space="preserve">Kako pogosto mora biti vodstveni pregled?</w:t>
      </w:r>
    </w:p>
    <w:p>
      <w:pPr>
        <w:spacing w:after="120"/>
      </w:pPr>
      <w:r>
        <w:t xml:space="preserve">Standard zahteva »v načrtovanih razmikih« — v praksi vsaj enkrat letno. Kazalnik KPI »Vodstveni pregledi v zadnjih 12 mesecih« vas opozori, če zapisa za zadnje leto ni.</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350"/>
        <w:gridCol w:w="2350"/>
        <w:gridCol w:w="2350"/>
        <w:gridCol w:w="2350"/>
      </w:tblGrid>
      <w:tr>
        <w:trPr>
          <w:tblHeader/>
        </w:trPr>
        <w:tc>
          <w:tcPr>
            <w:tcW w:type="dxa" w:w="2350"/>
            <w:shd w:fill="1D5A61" w:color="auto" w:val="clear"/>
            <w:tcMar>
              <w:top w:type="dxa" w:w="80"/>
              <w:left w:type="dxa" w:w="100"/>
              <w:bottom w:type="dxa" w:w="80"/>
              <w:right w:type="dxa" w:w="100"/>
            </w:tcMar>
          </w:tcPr>
          <w:p>
            <w:r>
              <w:rPr>
                <w:b/>
                <w:bCs/>
                <w:color w:val="FFFFFF"/>
                <w:sz w:val="20"/>
                <w:szCs w:val="20"/>
              </w:rPr>
              <w:t xml:space="preserve">Kdo sme kaj</w:t>
            </w:r>
          </w:p>
        </w:tc>
        <w:tc>
          <w:tcPr>
            <w:tcW w:type="dxa" w:w="2350"/>
            <w:shd w:fill="1D5A61" w:color="auto" w:val="clear"/>
            <w:tcMar>
              <w:top w:type="dxa" w:w="80"/>
              <w:left w:type="dxa" w:w="100"/>
              <w:bottom w:type="dxa" w:w="80"/>
              <w:right w:type="dxa" w:w="100"/>
            </w:tcMar>
          </w:tcPr>
          <w:p>
            <w:r>
              <w:rPr>
                <w:b/>
                <w:bCs/>
                <w:color w:val="FFFFFF"/>
                <w:sz w:val="20"/>
                <w:szCs w:val="20"/>
              </w:rPr>
              <w:t xml:space="preserve">Raven bere</w:t>
            </w:r>
          </w:p>
        </w:tc>
        <w:tc>
          <w:tcPr>
            <w:tcW w:type="dxa" w:w="2350"/>
            <w:shd w:fill="1D5A61" w:color="auto" w:val="clear"/>
            <w:tcMar>
              <w:top w:type="dxa" w:w="80"/>
              <w:left w:type="dxa" w:w="100"/>
              <w:bottom w:type="dxa" w:w="80"/>
              <w:right w:type="dxa" w:w="100"/>
            </w:tcMar>
          </w:tcPr>
          <w:p>
            <w:r>
              <w:rPr>
                <w:b/>
                <w:bCs/>
                <w:color w:val="FFFFFF"/>
                <w:sz w:val="20"/>
                <w:szCs w:val="20"/>
              </w:rPr>
              <w:t xml:space="preserve">Raven ureja (vodja kakovosti)</w:t>
            </w:r>
          </w:p>
        </w:tc>
        <w:tc>
          <w:tcPr>
            <w:tcW w:type="dxa" w:w="2350"/>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2350"/>
            <w:tcMar>
              <w:top w:type="dxa" w:w="80"/>
              <w:left w:type="dxa" w:w="100"/>
              <w:bottom w:type="dxa" w:w="80"/>
              <w:right w:type="dxa" w:w="100"/>
            </w:tcMar>
          </w:tcPr>
          <w:p>
            <w:r>
              <w:rPr>
                <w:sz w:val="20"/>
                <w:szCs w:val="20"/>
              </w:rPr>
              <w:t xml:space="preserve">Ogled seznama in pregledov, pogovor</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Zapisnik PDF, Excel izvoz</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Nov pregled, komentarji, ugotovitve, osnutek AI</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Sklepi: dodajanje, brisanje, → CAPA</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Osveži vhode, Zaključi pregled</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r>
        <w:tc>
          <w:tcPr>
            <w:tcW w:type="dxa" w:w="2350"/>
            <w:tcMar>
              <w:top w:type="dxa" w:w="80"/>
              <w:left w:type="dxa" w:w="100"/>
              <w:bottom w:type="dxa" w:w="80"/>
              <w:right w:type="dxa" w:w="100"/>
            </w:tcMar>
          </w:tcPr>
          <w:p>
            <w:r>
              <w:rPr>
                <w:sz w:val="20"/>
                <w:szCs w:val="20"/>
              </w:rPr>
              <w:t xml:space="preserve">Vklop modula, dodeljevanje ravni dostopa</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c>
          <w:tcPr>
            <w:tcW w:type="dxa" w:w="2350"/>
            <w:tcMar>
              <w:top w:type="dxa" w:w="80"/>
              <w:left w:type="dxa" w:w="100"/>
              <w:bottom w:type="dxa" w:w="80"/>
              <w:right w:type="dxa" w:w="100"/>
            </w:tcMar>
          </w:tcPr>
          <w:p>
            <w:r>
              <w:rPr>
                <w:sz w:val="20"/>
                <w:szCs w:val="20"/>
              </w:rPr>
              <w:t xml:space="preserve">✓</w:t>
            </w:r>
          </w:p>
        </w:tc>
      </w:tr>
    </w:tbl>
    <w:p>
      <w:pPr>
        <w:spacing w:after="160"/>
      </w:pP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Vodstveni pregled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Vodstveni pregled</dc:title>
  <dc:creator>E-KAKOVOST</dc:creator>
  <cp:lastModifiedBy>Un-named</cp:lastModifiedBy>
  <cp:revision>1</cp:revision>
  <dcterms:created xsi:type="dcterms:W3CDTF">2026-11-07T11:16:47.037Z</dcterms:created>
  <dcterms:modified xsi:type="dcterms:W3CDTF">2026-11-07T11:16:47.037Z</dcterms:modified>
</cp:coreProperties>
</file>

<file path=docProps/custom.xml><?xml version="1.0" encoding="utf-8"?>
<Properties xmlns="http://schemas.openxmlformats.org/officeDocument/2006/custom-properties" xmlns:vt="http://schemas.openxmlformats.org/officeDocument/2006/docPropsVTypes"/>
</file>